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sdt>
      <w:sdtPr>
        <w:docPartObj>
          <w:docPartGallery w:val="Table of Contents"/>
          <w:docPartUnique w:val="true"/>
        </w:docPartObj>
      </w:sdtPr>
      <w:sdtContent>
        <w:p>
          <w:pPr>
            <w:pStyle w:val="Normal"/>
            <w:jc w:val="right"/>
            <w:rPr>
              <w:rFonts w:ascii="Arial" w:hAnsi="Arial" w:cs="Arial"/>
              <w:b/>
              <w:bCs/>
              <w:spacing w:val="-2"/>
            </w:rPr>
          </w:pPr>
          <w:r>
            <mc:AlternateContent>
              <mc:Choice Requires="wpg">
                <w:drawing>
                  <wp:anchor behindDoc="0" distT="0" distB="0" distL="0" distR="0" simplePos="0" locked="0" layoutInCell="0" allowOverlap="1" relativeHeight="3" wp14:anchorId="1AA28D04">
                    <wp:simplePos x="0" y="0"/>
                    <wp:positionH relativeFrom="page">
                      <wp:posOffset>339725</wp:posOffset>
                    </wp:positionH>
                    <wp:positionV relativeFrom="page">
                      <wp:align>center</wp:align>
                    </wp:positionV>
                    <wp:extent cx="222885" cy="9725660"/>
                    <wp:effectExtent l="0" t="0" r="0" b="0"/>
                    <wp:wrapNone/>
                    <wp:docPr id="1" name="Group 114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2840" cy="9725760"/>
                              <a:chOff x="0" y="0"/>
                              <a:chExt cx="222840" cy="9725760"/>
                            </a:xfrm>
                          </wpg:grpSpPr>
                          <wps:wsp>
                            <wps:cNvPr id="2" name="Rectangle 115"/>
                            <wps:cNvSpPr/>
                            <wps:spPr>
                              <a:xfrm>
                                <a:off x="0" y="0"/>
                                <a:ext cx="222840" cy="93409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3" name="Rectangle 116"/>
                            <wps:cNvSpPr/>
                            <wps:spPr>
                              <a:xfrm>
                                <a:off x="0" y="9494640"/>
                                <a:ext cx="222840" cy="2311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3000</wp14:pctWidth>
                    </wp14:sizeRelH>
                    <wp14:sizeRelV relativeFrom="page">
                      <wp14:pctHeight>91000</wp14:pctHeight>
                    </wp14:sizeRelV>
                  </wp:anchor>
                </w:drawing>
              </mc:Choice>
              <mc:Fallback>
                <w:pict>
                  <v:group id="shape_0" alt="Group 114" style="position:absolute;margin-left:26.75pt;margin-top:38.05pt;width:17.55pt;height:765.8pt" coordorigin="535,761" coordsize="351,15316">
                    <v:rect id="shape_0" ID="Rectangle 115" path="m0,0l-2147483645,0l-2147483645,-2147483646l0,-2147483646xe" fillcolor="#ed7d31" stroked="f" o:allowincell="f" style="position:absolute;left:535;top:761;width:350;height:14709;mso-wrap-style:none;v-text-anchor:middle;mso-position-horizontal-relative:page;mso-position-vertical:center;mso-position-vertical-relative:page">
                      <v:fill o:detectmouseclick="t" type="solid" color2="#1282ce"/>
                      <v:stroke color="#3465a4" weight="12600" joinstyle="miter" endcap="flat"/>
                      <w10:wrap type="none"/>
                    </v:rect>
                    <v:rect id="shape_0" ID="Rectangle 116" path="m0,0l-2147483645,0l-2147483645,-2147483646l0,-2147483646xe" fillcolor="#4472c4" stroked="f" o:allowincell="f" style="position:absolute;left:535;top:15713;width:350;height:363;mso-wrap-style:none;v-text-anchor:middle;mso-position-horizontal-relative:page;mso-position-vertical:center;mso-position-vertical-relative:page">
                      <v:fill o:detectmouseclick="t" type="solid" color2="#bb8d3b"/>
                      <v:stroke color="#3465a4" weight="12600" joinstyle="miter" endcap="flat"/>
                      <w10:wrap type="none"/>
                    </v:rect>
                  </v:group>
                </w:pict>
              </mc:Fallback>
            </mc:AlternateContent>
          </w:r>
          <w:r>
            <w:rPr>
              <w:rFonts w:cs="Arial" w:ascii="Arial" w:hAnsi="Arial"/>
            </w:rPr>
            <w:t>ПРИЈЕДЛОГ</w:t>
          </w:r>
        </w:p>
        <w:p>
          <w:pPr>
            <w:pStyle w:val="Normal"/>
            <w:jc w:val="right"/>
            <w:rPr>
              <w:rFonts w:ascii="Arial" w:hAnsi="Arial" w:cs="Arial"/>
              <w:b/>
              <w:bCs/>
              <w:spacing w:val="-2"/>
            </w:rPr>
          </w:pPr>
          <w:r>
            <w:rPr>
              <w:rFonts w:cs="Arial" w:ascii="Arial" w:hAnsi="Arial"/>
              <w:b/>
              <w:bCs/>
              <w:spacing w:val="-2"/>
            </w:rPr>
          </w:r>
        </w:p>
        <w:p>
          <w:pPr>
            <w:pStyle w:val="Normal"/>
            <w:jc w:val="right"/>
            <w:rPr>
              <w:rFonts w:ascii="Arial" w:hAnsi="Arial" w:cs="Arial"/>
              <w:b/>
              <w:bCs/>
              <w:spacing w:val="-2"/>
            </w:rPr>
          </w:pPr>
          <w:r>
            <w:rPr>
              <w:rFonts w:cs="Arial" w:ascii="Arial" w:hAnsi="Arial"/>
              <w:b/>
              <w:bCs/>
              <w:spacing w:val="-2"/>
            </w:rPr>
          </w:r>
        </w:p>
        <w:p>
          <w:pPr>
            <w:pStyle w:val="Normal"/>
            <w:jc w:val="right"/>
            <w:rPr>
              <w:rFonts w:ascii="Arial" w:hAnsi="Arial" w:cs="Arial"/>
            </w:rPr>
          </w:pPr>
          <w:r>
            <w:rPr>
              <w:rFonts w:cs="Arial" w:ascii="Arial" w:hAnsi="Arial"/>
            </w:rPr>
          </w:r>
        </w:p>
        <w:p>
          <w:pPr>
            <w:pStyle w:val="Normal"/>
            <w:jc w:val="both"/>
            <w:rPr>
              <w:rFonts w:ascii="Arial" w:hAnsi="Arial" w:cs="Arial"/>
            </w:rPr>
          </w:pPr>
          <w:r>
            <w:rPr>
              <w:rFonts w:cs="Arial" w:ascii="Arial" w:hAnsi="Arial"/>
            </w:rPr>
          </w:r>
        </w:p>
        <w:p>
          <w:pPr>
            <w:pStyle w:val="Normal"/>
            <w:jc w:val="both"/>
            <w:rPr>
              <w:rFonts w:ascii="Arial" w:hAnsi="Arial" w:cs="Arial"/>
            </w:rPr>
          </w:pPr>
          <w:r>
            <w:rPr>
              <w:rFonts w:cs="Arial" w:ascii="Arial" w:hAnsi="Arial"/>
            </w:rPr>
          </w:r>
        </w:p>
        <w:p>
          <w:pPr>
            <w:pStyle w:val="Normal"/>
            <w:ind w:left="3540"/>
            <w:jc w:val="both"/>
            <w:rPr>
              <w:rFonts w:ascii="Arial" w:hAnsi="Arial" w:cs="Arial"/>
            </w:rPr>
          </w:pPr>
          <w:r>
            <w:rPr/>
            <w:drawing>
              <wp:inline distT="0" distB="0" distL="0" distR="0">
                <wp:extent cx="1428750" cy="1533525"/>
                <wp:effectExtent l="0" t="0" r="0" b="0"/>
                <wp:docPr id="4" name="Slika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lika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rPr>
              <w:rFonts w:ascii="Arial" w:hAnsi="Arial" w:cs="Arial"/>
              <w:b/>
              <w:spacing w:val="-2"/>
            </w:rPr>
          </w:pPr>
          <w:r>
            <w:rPr>
              <w:rFonts w:cs="Arial" w:ascii="Arial" w:hAnsi="Arial"/>
              <w:b/>
              <w:spacing w:val="-2"/>
            </w:rPr>
          </w:r>
        </w:p>
        <w:p>
          <w:pPr>
            <w:pStyle w:val="Normal"/>
            <w:jc w:val="both"/>
            <w:rPr>
              <w:rFonts w:ascii="Arial" w:hAnsi="Arial" w:cs="Arial"/>
              <w:b/>
              <w:spacing w:val="-2"/>
            </w:rPr>
          </w:pPr>
          <w:r>
            <w:rPr>
              <w:rFonts w:cs="Arial" w:ascii="Arial" w:hAnsi="Arial"/>
              <w:b/>
              <w:spacing w:val="-2"/>
            </w:rPr>
          </w:r>
        </w:p>
        <w:p>
          <w:pPr>
            <w:pStyle w:val="Normal"/>
            <w:jc w:val="both"/>
            <w:rPr>
              <w:rFonts w:ascii="Arial" w:hAnsi="Arial" w:cs="Arial"/>
              <w:b/>
              <w:spacing w:val="-2"/>
            </w:rPr>
          </w:pPr>
          <w:r>
            <w:rPr>
              <w:rFonts w:cs="Arial" w:ascii="Arial" w:hAnsi="Arial"/>
              <w:b/>
              <w:spacing w:val="-2"/>
            </w:rPr>
          </w:r>
        </w:p>
        <w:p>
          <w:pPr>
            <w:pStyle w:val="Normal"/>
            <w:jc w:val="both"/>
            <w:rPr>
              <w:rFonts w:ascii="Arial" w:hAnsi="Arial" w:cs="Arial"/>
              <w:b/>
              <w:spacing w:val="-2"/>
            </w:rPr>
          </w:pPr>
          <w:r>
            <w:rPr>
              <w:rFonts w:cs="Arial" w:ascii="Arial" w:hAnsi="Arial"/>
              <w:b/>
              <w:spacing w:val="-2"/>
            </w:rPr>
          </w:r>
        </w:p>
        <w:p>
          <w:pPr>
            <w:pStyle w:val="Normal"/>
            <w:jc w:val="center"/>
            <w:rPr>
              <w:rFonts w:ascii="Arial" w:hAnsi="Arial" w:cs="Arial"/>
              <w:b/>
              <w:sz w:val="28"/>
              <w:szCs w:val="28"/>
              <w:vertAlign w:val="superscript"/>
            </w:rPr>
          </w:pPr>
          <w:r>
            <w:rPr>
              <w:rFonts w:cs="Arial" w:ascii="Arial" w:hAnsi="Arial"/>
              <w:b/>
              <w:spacing w:val="-2"/>
              <w:sz w:val="28"/>
              <w:szCs w:val="28"/>
            </w:rPr>
            <w:t>ГРАД ГРАДИШКА</w:t>
          </w:r>
        </w:p>
        <w:p>
          <w:pPr>
            <w:pStyle w:val="Normal"/>
            <w:jc w:val="both"/>
            <w:rPr>
              <w:rFonts w:ascii="Arial" w:hAnsi="Arial" w:cs="Arial"/>
            </w:rPr>
          </w:pPr>
          <w:r>
            <w:rPr>
              <w:rFonts w:cs="Arial" w:ascii="Arial" w:hAnsi="Arial"/>
            </w:rPr>
          </w:r>
        </w:p>
        <w:p>
          <w:pPr>
            <w:pStyle w:val="Normal"/>
            <w:jc w:val="both"/>
            <w:rPr>
              <w:rFonts w:ascii="Arial" w:hAnsi="Arial" w:cs="Arial"/>
            </w:rPr>
          </w:pPr>
          <w:r>
            <w:rPr>
              <w:rFonts w:cs="Arial" w:ascii="Arial" w:hAnsi="Arial"/>
            </w:rPr>
          </w:r>
        </w:p>
        <w:p>
          <w:pPr>
            <w:pStyle w:val="Normal"/>
            <w:jc w:val="both"/>
            <w:rPr>
              <w:rFonts w:ascii="Arial" w:hAnsi="Arial" w:cs="Arial"/>
            </w:rPr>
          </w:pPr>
          <w:r>
            <w:rPr>
              <w:rFonts w:cs="Arial" w:ascii="Arial" w:hAnsi="Arial"/>
            </w:rPr>
          </w:r>
        </w:p>
        <w:p>
          <w:pPr>
            <w:pStyle w:val="Normal"/>
            <w:jc w:val="both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i/>
              <w:i/>
              <w:sz w:val="28"/>
              <w:szCs w:val="28"/>
            </w:rPr>
          </w:pPr>
          <w:r>
            <w:rPr>
              <w:rFonts w:cs="Arial" w:ascii="Arial" w:hAnsi="Arial"/>
              <w:i/>
              <w:sz w:val="28"/>
              <w:szCs w:val="28"/>
            </w:rPr>
            <w:t>СТРАТЕГИЈА УПРАВЉАЊА И РАСПОЛАГАЊА</w:t>
          </w:r>
        </w:p>
        <w:p>
          <w:pPr>
            <w:pStyle w:val="Normal"/>
            <w:jc w:val="center"/>
            <w:rPr>
              <w:rFonts w:ascii="Arial" w:hAnsi="Arial" w:cs="Arial"/>
              <w:i/>
              <w:i/>
              <w:sz w:val="28"/>
              <w:szCs w:val="28"/>
            </w:rPr>
          </w:pPr>
          <w:r>
            <w:rPr>
              <w:rFonts w:cs="Arial" w:ascii="Arial" w:hAnsi="Arial"/>
              <w:i/>
              <w:sz w:val="28"/>
              <w:szCs w:val="28"/>
            </w:rPr>
            <w:t>ИМОВИНОМ У ВЛАСНИШТВУ ГРАДА ГРАДИШКА</w:t>
          </w:r>
        </w:p>
        <w:p>
          <w:pPr>
            <w:pStyle w:val="Normal"/>
            <w:jc w:val="center"/>
            <w:rPr>
              <w:rFonts w:ascii="Arial" w:hAnsi="Arial" w:cs="Arial"/>
              <w:i/>
              <w:i/>
              <w:sz w:val="28"/>
              <w:szCs w:val="28"/>
            </w:rPr>
          </w:pPr>
          <w:r>
            <w:rPr>
              <w:rFonts w:cs="Arial" w:ascii="Arial" w:hAnsi="Arial"/>
              <w:i/>
              <w:sz w:val="28"/>
              <w:szCs w:val="28"/>
            </w:rPr>
            <w:t>за период 2024. – 2030. године</w:t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cs="Arial" w:ascii="Arial" w:hAnsi="Arial"/>
              <w:b/>
              <w:sz w:val="32"/>
              <w:szCs w:val="32"/>
            </w:rPr>
            <w:t>ГОДИШЊИ ПЛАН УПРАВЉАЊА И  РАСПОЛАГАЊА ИМОВИНОМ У ВЛАСНИШТВУ ГРАДА                                                  ГРАДИШКА</w:t>
          </w:r>
        </w:p>
        <w:p>
          <w:pPr>
            <w:pStyle w:val="Normal"/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cs="Arial" w:ascii="Arial" w:hAnsi="Arial"/>
              <w:b/>
              <w:sz w:val="32"/>
              <w:szCs w:val="32"/>
            </w:rPr>
            <w:t>за 2026. годину</w:t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  <w:t>Градишка, фебруар 202</w:t>
          </w:r>
          <w:r>
            <w:rPr>
              <w:rFonts w:cs="Arial" w:ascii="Arial" w:hAnsi="Arial"/>
              <w:sz w:val="32"/>
              <w:szCs w:val="32"/>
              <w:lang w:val="sr-BA"/>
            </w:rPr>
            <w:t>6</w:t>
          </w:r>
          <w:r>
            <w:rPr>
              <w:rFonts w:cs="Arial" w:ascii="Arial" w:hAnsi="Arial"/>
              <w:sz w:val="32"/>
              <w:szCs w:val="32"/>
            </w:rPr>
            <w:t>. године</w:t>
          </w:r>
        </w:p>
        <w:p>
          <w:pPr>
            <w:pStyle w:val="Normal"/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cs="Arial" w:ascii="Arial" w:hAnsi="Arial"/>
              <w:sz w:val="32"/>
              <w:szCs w:val="32"/>
            </w:rPr>
          </w:r>
        </w:p>
        <w:p>
          <w:pPr>
            <w:pStyle w:val="TOCHeading"/>
            <w:rPr>
              <w:sz w:val="28"/>
              <w:szCs w:val="28"/>
            </w:rPr>
          </w:pPr>
          <w:r>
            <w:rPr>
              <w:rFonts w:cs="Arial" w:ascii="Arial" w:hAnsi="Arial"/>
              <w:color w:val="000000"/>
              <w:sz w:val="28"/>
              <w:szCs w:val="28"/>
            </w:rPr>
            <w:t>САДРЖАЈ</w:t>
          </w:r>
        </w:p>
        <w:p>
          <w:pPr>
            <w:pStyle w:val="Normal"/>
            <w:rPr>
              <w:rFonts w:ascii="Arial" w:hAnsi="Arial"/>
            </w:rPr>
          </w:pPr>
          <w:r>
            <w:rPr>
              <w:rFonts w:ascii="Arial" w:hAnsi="Arial"/>
            </w:rPr>
          </w:r>
        </w:p>
        <w:p>
          <w:pPr>
            <w:pStyle w:val="TOC1"/>
            <w:tabs>
              <w:tab w:val="clear" w:pos="708"/>
              <w:tab w:val="right" w:pos="9062" w:leader="dot"/>
            </w:tabs>
            <w:rPr/>
          </w:pPr>
          <w:r>
            <w:fldChar w:fldCharType="begin"/>
          </w:r>
          <w:r>
            <w:rPr>
              <w:webHidden/>
              <w:rStyle w:val="IndexLink"/>
              <w:b/>
              <w:vanish w:val="false"/>
              <w:rFonts w:cs="Arial" w:ascii="Arial" w:hAnsi="Arial"/>
              <w:color w:val="000000"/>
            </w:rPr>
            <w:instrText xml:space="preserve"> TOC \z \o "1-3" \u \h</w:instrText>
          </w:r>
          <w:r>
            <w:rPr>
              <w:webHidden/>
              <w:rStyle w:val="IndexLink"/>
              <w:b/>
              <w:vanish w:val="false"/>
              <w:rFonts w:cs="Arial" w:ascii="Arial" w:hAnsi="Arial"/>
              <w:color w:val="000000"/>
            </w:rPr>
            <w:fldChar w:fldCharType="separate"/>
          </w:r>
          <w:hyperlink w:anchor="_Toc143073048">
            <w:r>
              <w:rPr>
                <w:webHidden/>
                <w:rStyle w:val="IndexLink"/>
                <w:rFonts w:cs="Arial" w:ascii="Arial" w:hAnsi="Arial"/>
                <w:b/>
                <w:vanish w:val="false"/>
                <w:color w:val="000000"/>
              </w:rPr>
              <w:t>1. Увод</w:t>
            </w:r>
            <w:r>
              <w:rPr>
                <w:rStyle w:val="IndexLink"/>
                <w:rFonts w:ascii="Arial" w:hAnsi="Arial"/>
                <w:vanish w:val="false"/>
                <w:color w:val="000000"/>
              </w:rPr>
              <w:tab/>
            </w:r>
          </w:hyperlink>
          <w:r>
            <w:rPr>
              <w:rFonts w:ascii="Arial" w:hAnsi="Arial"/>
              <w:vanish w:val="false"/>
              <w:color w:val="000000"/>
            </w:rPr>
            <w:t xml:space="preserve"> </w:t>
          </w:r>
        </w:p>
        <w:p>
          <w:pPr>
            <w:pStyle w:val="TOC1"/>
            <w:tabs>
              <w:tab w:val="clear" w:pos="708"/>
              <w:tab w:val="right" w:pos="9062" w:leader="dot"/>
            </w:tabs>
            <w:rPr/>
          </w:pPr>
          <w:hyperlink w:anchor="_Toc14307304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_Toc143073049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IndexLink"/>
                <w:rFonts w:cs="Arial" w:ascii="Arial" w:hAnsi="Arial"/>
                <w:b/>
                <w:vanish w:val="false"/>
                <w:color w:val="000000"/>
                <w:lang w:eastAsia="en-US"/>
              </w:rPr>
              <w:t>2. Критерији  избора активности за годишње планове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right" w:pos="9062" w:leader="dot"/>
            </w:tabs>
            <w:rPr/>
          </w:pPr>
          <w:r>
            <w:rPr>
              <w:rFonts w:cs="Arial" w:ascii="Arial" w:hAnsi="Arial"/>
              <w:b/>
              <w:vanish w:val="false"/>
              <w:color w:val="000000"/>
              <w:lang w:val="sr-BA" w:eastAsia="en-US"/>
            </w:rPr>
            <w:t>3. Избор мјера и активности за реализацију Годишњег плана  за 2026. годину</w:t>
          </w:r>
          <w:hyperlink w:anchor="_Toc14307304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_Toc143073049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IndexLink"/>
                <w:rFonts w:ascii="Arial" w:hAnsi="Arial"/>
                <w:vanish w:val="false"/>
                <w:color w:val="000000"/>
                <w:lang w:val="sr-BA"/>
              </w:rPr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right" w:pos="9062" w:leader="dot"/>
            </w:tabs>
            <w:rPr>
              <w:b w:val="false"/>
              <w:bCs w:val="false"/>
            </w:rPr>
          </w:pPr>
          <w:r>
            <w:rPr>
              <w:rFonts w:cs="Arial" w:ascii="Arial" w:hAnsi="Arial"/>
              <w:b/>
              <w:vanish w:val="false"/>
              <w:color w:val="000000"/>
              <w:lang w:val="sr-Latn-BA" w:eastAsia="en-US"/>
            </w:rPr>
            <w:t>4</w:t>
          </w:r>
          <w:hyperlink w:anchor="_Toc14307305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_Toc143073052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IndexLink"/>
                <w:rFonts w:cs="Arial" w:ascii="Arial" w:hAnsi="Arial"/>
                <w:b/>
                <w:vanish w:val="false"/>
                <w:color w:val="000000"/>
                <w:lang w:val="sr-Latn-BA" w:eastAsia="en-US"/>
              </w:rPr>
              <w:t>. План циљева, мјера и активности за 2026. годину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right" w:pos="9062" w:leader="dot"/>
            </w:tabs>
            <w:rPr/>
          </w:pPr>
          <w:r>
            <w:rPr>
              <w:rFonts w:cs="Arial" w:ascii="Arial" w:hAnsi="Arial"/>
              <w:b/>
              <w:vanish w:val="false"/>
              <w:color w:val="000000"/>
              <w:lang w:val="sr-Latn-BA" w:eastAsia="en-US"/>
            </w:rPr>
            <w:t>5.Потребни ресурси за реализацију Годишњег плана за 2026. годину</w:t>
          </w:r>
          <w:hyperlink w:anchor="_Toc14307305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_Toc143073052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IndexLink"/>
                <w:rFonts w:ascii="Arial" w:hAnsi="Arial"/>
                <w:vanish w:val="false"/>
                <w:color w:val="000000"/>
                <w:lang w:val="sr-BA"/>
              </w:rPr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>
              <w:rFonts w:ascii="Arial" w:hAnsi="Arial" w:cs="Arial"/>
              <w:bCs/>
            </w:rPr>
          </w:pPr>
          <w:r>
            <w:rPr>
              <w:rFonts w:cs="Arial" w:ascii="Arial" w:hAnsi="Arial"/>
              <w:bCs/>
            </w:rPr>
          </w:r>
          <w:r>
            <w:rPr>
              <w:bCs/>
              <w:rFonts w:cs="Arial" w:ascii="Arial" w:hAnsi="Arial"/>
            </w:rPr>
            <w:fldChar w:fldCharType="end"/>
          </w:r>
        </w:p>
        <w:p>
          <w:pPr>
            <w:sectPr>
              <w:headerReference w:type="even" r:id="rId3"/>
              <w:headerReference w:type="default" r:id="rId4"/>
              <w:headerReference w:type="first" r:id="rId5"/>
              <w:footerReference w:type="even" r:id="rId6"/>
              <w:footerReference w:type="default" r:id="rId7"/>
              <w:footerReference w:type="first" r:id="rId8"/>
              <w:type w:val="nextPage"/>
              <w:pgSz w:w="11906" w:h="16838"/>
              <w:pgMar w:left="1417" w:right="1417" w:gutter="0" w:header="708" w:top="1417" w:footer="708" w:bottom="1417"/>
              <w:pgNumType w:start="0" w:fmt="decimal"/>
              <w:formProt w:val="false"/>
              <w:textDirection w:val="lrTb"/>
              <w:docGrid w:type="default" w:linePitch="360" w:charSpace="0"/>
            </w:sectPr>
          </w:pPr>
        </w:p>
      </w:sdtContent>
    </w:sdt>
    <w:p>
      <w:pPr>
        <w:pStyle w:val="Heading1"/>
        <w:rPr/>
      </w:pPr>
      <w:bookmarkStart w:id="0" w:name="_Toc143073048"/>
      <w:r>
        <w:rPr>
          <w:rFonts w:cs="Arial" w:ascii="Arial" w:hAnsi="Arial"/>
          <w:b/>
          <w:color w:val="auto"/>
          <w:sz w:val="24"/>
          <w:szCs w:val="24"/>
        </w:rPr>
        <w:t>1. Увод</w:t>
      </w:r>
      <w:bookmarkEnd w:id="0"/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Стратегија управљања и располагања имовином у власништву Града Градишка за раздобље 2024. – 2030. године, усвојена на 4. сједници Скупштине града Градишка дана  </w:t>
      </w:r>
      <w:r>
        <w:rPr>
          <w:rFonts w:cs="Arial" w:ascii="Arial" w:hAnsi="Arial"/>
          <w:sz w:val="24"/>
          <w:szCs w:val="24"/>
          <w:lang w:val="sr-Latn-BA"/>
        </w:rPr>
        <w:t xml:space="preserve">05.03.2024. </w:t>
      </w:r>
      <w:r>
        <w:rPr>
          <w:rFonts w:cs="Arial" w:ascii="Arial" w:hAnsi="Arial"/>
          <w:sz w:val="24"/>
          <w:szCs w:val="24"/>
        </w:rPr>
        <w:t>године</w:t>
      </w:r>
      <w:r>
        <w:rPr>
          <w:rFonts w:cs="Arial" w:ascii="Arial" w:hAnsi="Arial"/>
          <w:sz w:val="24"/>
          <w:szCs w:val="24"/>
          <w:lang w:val="sr-BA"/>
        </w:rPr>
        <w:t xml:space="preserve"> је </w:t>
      </w:r>
      <w:r>
        <w:rPr>
          <w:rFonts w:cs="Arial" w:ascii="Arial" w:hAnsi="Arial"/>
          <w:sz w:val="24"/>
          <w:szCs w:val="24"/>
          <w:lang w:val="sr-Latn-BA"/>
        </w:rPr>
        <w:t>обaвезујући</w:t>
      </w:r>
      <w:r>
        <w:rPr>
          <w:rFonts w:cs="Arial" w:ascii="Arial" w:hAnsi="Arial"/>
          <w:sz w:val="24"/>
          <w:szCs w:val="24"/>
        </w:rPr>
        <w:t xml:space="preserve"> документ у функцији  ефикасног и транспарентног управљања имовином у власништву Града Градишка.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Три кључна и међусобно повезана документа управљања некретнинама у власништву Града Градишка су:</w:t>
      </w:r>
    </w:p>
    <w:p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Стратегија управљања и располагања имовином у власништву Града Градишка</w:t>
      </w:r>
    </w:p>
    <w:p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Годишњи план управљања и располагања имовином у власништву Града Градишка и</w:t>
      </w:r>
    </w:p>
    <w:p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Годишњи извјештај о провођењу Годишњег плана управљања и располагања  имовином у власништву Града Градишка.</w:t>
      </w:r>
    </w:p>
    <w:p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Град Градишка, на основу  Стратегије управљања и располагања имовином у власништву Града Градишка за</w:t>
      </w:r>
      <w:r>
        <w:rPr>
          <w:rFonts w:cs="Arial" w:ascii="Arial" w:hAnsi="Arial"/>
          <w:sz w:val="24"/>
          <w:szCs w:val="24"/>
          <w:lang w:val="sr-BA"/>
        </w:rPr>
        <w:t xml:space="preserve"> период </w:t>
      </w:r>
      <w:r>
        <w:rPr>
          <w:rFonts w:cs="Arial" w:ascii="Arial" w:hAnsi="Arial"/>
          <w:sz w:val="24"/>
          <w:szCs w:val="24"/>
        </w:rPr>
        <w:t>2024. – 2030. године, израђује Годишњи план управљања и располагања  имовином у власништву Града Градишка за 202</w:t>
      </w:r>
      <w:r>
        <w:rPr>
          <w:rFonts w:cs="Arial" w:ascii="Arial" w:hAnsi="Arial"/>
          <w:sz w:val="24"/>
          <w:szCs w:val="24"/>
          <w:lang w:val="sr-BA"/>
        </w:rPr>
        <w:t>6</w:t>
      </w:r>
      <w:r>
        <w:rPr>
          <w:rFonts w:cs="Arial" w:ascii="Arial" w:hAnsi="Arial"/>
          <w:sz w:val="24"/>
          <w:szCs w:val="24"/>
        </w:rPr>
        <w:t xml:space="preserve">. годину. Стратегија одређује средњорочне циљеве и смјернице за управљање и располагање имовином у власништву Града Градишка за раздобље од седам година.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Стратегијом се жели осигурати економски ефикасно, цјеловито и транспарентно управљање имовином Града Градишка, уз очување и проналажење оптималних рјешења за Град при управљању и располагању имовином.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Годишњим планом одређују се краткорочни циљеви и смјернице управљања и располагања некретнинама и мјере у сврху провођења Стратегије, као и прописује начин извјештавања о управљању и располагању некретнинама, односно остварења Стратегије и Годишњег плана управљања.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Значење појма управљање имовином дефинисано је у самом документу Стратегије и вриједи и за све појединачне годишње планове.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Heading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rPr>
          <w:sz w:val="24"/>
          <w:szCs w:val="24"/>
        </w:rPr>
      </w:pPr>
      <w:bookmarkStart w:id="1" w:name="_Toc143073049"/>
      <w:r>
        <w:rPr>
          <w:rFonts w:cs="Arial" w:ascii="Arial" w:hAnsi="Arial"/>
          <w:b/>
          <w:color w:val="auto"/>
          <w:sz w:val="24"/>
          <w:szCs w:val="24"/>
          <w:lang w:eastAsia="en-US"/>
        </w:rPr>
        <w:t>2. Критерији  избора активности за годишње планове</w:t>
      </w:r>
      <w:bookmarkEnd w:id="1"/>
    </w:p>
    <w:p>
      <w:pPr>
        <w:pStyle w:val="Normal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</w:p>
    <w:p>
      <w:pPr>
        <w:pStyle w:val="Normal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Избор активности које ће се предузимати у оквиру годишњег плана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зависи од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: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приоритет</w:t>
      </w:r>
      <w:r>
        <w:rPr>
          <w:rFonts w:eastAsia="Calibri" w:cs="Arial" w:ascii="Arial" w:hAnsi="Arial"/>
          <w:sz w:val="24"/>
          <w:szCs w:val="24"/>
          <w:lang w:val="sr-BA" w:eastAsia="en-US"/>
        </w:rPr>
        <w:t>а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за предузимање мјера и активности у појединим подручјима стратешких циљева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логичном слиједу предузимања мјера и активности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могућностима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организационих јединица </w:t>
      </w:r>
      <w:r>
        <w:rPr>
          <w:rFonts w:eastAsia="Calibri" w:cs="Arial" w:ascii="Arial" w:hAnsi="Arial"/>
          <w:sz w:val="24"/>
          <w:szCs w:val="24"/>
          <w:lang w:eastAsia="en-US"/>
        </w:rPr>
        <w:t>(расположивост ресурса) за предузимање мјера и активности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законским обавезама Града Градишка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избору начелника одјељења појединих  организационих јединица и њиховог погледа на приоритете реализације појединих активности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захтјевима Скупштине града Градишка</w:t>
      </w:r>
    </w:p>
    <w:p>
      <w:pPr>
        <w:pStyle w:val="Normal"/>
        <w:spacing w:lineRule="auto" w:line="276" w:before="0" w:after="200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За дефинисање годишњег плана, као и имплементацију цјелокупне Стратегије управљања и располагања имовином у власништву Града Градишка, потребно је користити основну подјелу стратешких циљева и приоритета која је наведена у слиједећој табели: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Стратешки циљеви</w:t>
      </w:r>
      <w:r>
        <w:rPr>
          <w:rFonts w:cs="Arial" w:ascii="Arial" w:hAnsi="Arial"/>
          <w:sz w:val="24"/>
          <w:szCs w:val="24"/>
        </w:rPr>
        <w:t xml:space="preserve"> – везани за управљање имовином у власништву Града Градишка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5715" distB="4445" distL="5715" distR="4445" simplePos="0" locked="0" layoutInCell="1" allowOverlap="1" relativeHeight="4" wp14:anchorId="69089630">
                <wp:simplePos x="0" y="0"/>
                <wp:positionH relativeFrom="column">
                  <wp:posOffset>22225</wp:posOffset>
                </wp:positionH>
                <wp:positionV relativeFrom="paragraph">
                  <wp:posOffset>74295</wp:posOffset>
                </wp:positionV>
                <wp:extent cx="1363345" cy="1485265"/>
                <wp:effectExtent l="5715" t="5715" r="4445" b="4445"/>
                <wp:wrapNone/>
                <wp:docPr id="5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320" cy="14853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+mn-ea"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</w:rPr>
                              <w:t xml:space="preserve">1. 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Цјеловито и свеобухватно евидентирање градске нефинансијске имовине 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fillcolor="#ffc000" stroked="t" o:allowincell="f" style="position:absolute;margin-left:1.75pt;margin-top:5.85pt;width:107.3pt;height:116.9pt;mso-wrap-style:square;v-text-anchor:top" wp14:anchorId="69089630">
                <v:fill o:detectmouseclick="t" type="solid" color2="#003fff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eastAsia="+mn-ea" w:cs="Arial" w:ascii="Arial" w:hAnsi="Arial"/>
                          <w:color w:val="000000"/>
                          <w:kern w:val="2"/>
                          <w:sz w:val="20"/>
                          <w:szCs w:val="20"/>
                        </w:rPr>
                        <w:t xml:space="preserve">1. </w:t>
                      </w:r>
                    </w:p>
                    <w:p>
                      <w:pPr>
                        <w:pStyle w:val="FrameContents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 xml:space="preserve">Цјеловито и свеобухватно евидентирање градске нефинансијске имовине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5715" distB="4445" distL="5080" distR="5080" simplePos="0" locked="0" layoutInCell="1" allowOverlap="1" relativeHeight="6" wp14:anchorId="09769113">
                <wp:simplePos x="0" y="0"/>
                <wp:positionH relativeFrom="column">
                  <wp:posOffset>1997075</wp:posOffset>
                </wp:positionH>
                <wp:positionV relativeFrom="paragraph">
                  <wp:posOffset>96520</wp:posOffset>
                </wp:positionV>
                <wp:extent cx="1401445" cy="1448435"/>
                <wp:effectExtent l="5080" t="5715" r="5080" b="4445"/>
                <wp:wrapNone/>
                <wp:docPr id="6" name="Text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01480" cy="14482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Успостава менаџерског приступа у управљању имовином и успостава јединственог мјеста евидентирања градске имовине 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4" path="m0,0l-2147483645,0l-2147483645,-2147483646l0,-2147483646xe" fillcolor="#a9d18e" stroked="t" o:allowincell="f" style="position:absolute;margin-left:157.25pt;margin-top:7.6pt;width:110.3pt;height:114pt;flip:x;mso-wrap-style:square;v-text-anchor:top" wp14:anchorId="09769113">
                <v:fill o:detectmouseclick="t" type="solid" color2="#562e71"/>
                <v:stroke color="#002060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kern w:val="2"/>
                          <w:sz w:val="20"/>
                          <w:szCs w:val="20"/>
                        </w:rPr>
                        <w:t>2.</w:t>
                      </w:r>
                    </w:p>
                    <w:p>
                      <w:pPr>
                        <w:pStyle w:val="FrameContents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 xml:space="preserve">Успостава менаџерског приступа у управљању имовином и успостава јединственог мјеста евидентирања градске имовине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0" allowOverlap="1" relativeHeight="8" wp14:anchorId="24A82D04">
                <wp:simplePos x="0" y="0"/>
                <wp:positionH relativeFrom="margin">
                  <wp:posOffset>3964940</wp:posOffset>
                </wp:positionH>
                <wp:positionV relativeFrom="paragraph">
                  <wp:posOffset>89535</wp:posOffset>
                </wp:positionV>
                <wp:extent cx="1488440" cy="1433830"/>
                <wp:effectExtent l="5080" t="5080" r="5080" b="5080"/>
                <wp:wrapNone/>
                <wp:docPr id="7" name="Text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600" cy="1433880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/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>Уређење нормативног оквира и власничкоправних односа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0" path="m0,0l-2147483645,0l-2147483645,-2147483646l0,-2147483646xe" fillcolor="#bdd7ee" stroked="t" o:allowincell="f" style="position:absolute;margin-left:312.2pt;margin-top:7.05pt;width:117.15pt;height:112.85pt;mso-wrap-style:square;v-text-anchor:top;mso-position-horizontal-relative:margin" wp14:anchorId="24A82D04">
                <v:fill o:detectmouseclick="t" type="solid" color2="#422811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/>
                      </w:pPr>
                      <w:r>
                        <w:rPr>
                          <w:rFonts w:cs="Arial" w:ascii="Arial" w:hAnsi="Arial"/>
                          <w:color w:val="000000"/>
                          <w:kern w:val="2"/>
                          <w:sz w:val="20"/>
                          <w:szCs w:val="20"/>
                        </w:rPr>
                        <w:t>3.</w:t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>Уређење нормативног оквира и власничкоправних односа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Приоритети</w:t>
      </w:r>
      <w:r>
        <w:rPr>
          <w:rFonts w:cs="Arial" w:ascii="Arial" w:hAnsi="Arial"/>
          <w:sz w:val="24"/>
          <w:szCs w:val="24"/>
        </w:rPr>
        <w:t xml:space="preserve"> – који се надовезују на стратешке циљеве везано за управљање имовином у власништву Града Градишка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5080" distB="5080" distL="5080" distR="5080" simplePos="0" locked="0" layoutInCell="0" allowOverlap="1" relativeHeight="16" wp14:anchorId="62D3C53F">
                <wp:simplePos x="0" y="0"/>
                <wp:positionH relativeFrom="margin">
                  <wp:posOffset>4064000</wp:posOffset>
                </wp:positionH>
                <wp:positionV relativeFrom="paragraph">
                  <wp:posOffset>170815</wp:posOffset>
                </wp:positionV>
                <wp:extent cx="1385570" cy="1273810"/>
                <wp:effectExtent l="5080" t="5080" r="5080" b="5080"/>
                <wp:wrapNone/>
                <wp:docPr id="8" name="Text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640" cy="1273680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3.1. </w:t>
                              <w:br/>
                              <w:t>Израда годишњих планова с циљем рјешавања имовинскоправних односа (уређивања власништва) на некретнинама Града Градишке у земљишним књигама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0" path="m0,0l-2147483645,0l-2147483645,-2147483646l0,-2147483646xe" fillcolor="#bdd7ee" stroked="t" o:allowincell="f" style="position:absolute;margin-left:320pt;margin-top:13.45pt;width:109.05pt;height:100.25pt;mso-wrap-style:square;v-text-anchor:top;mso-position-horizontal-relative:margin" wp14:anchorId="62D3C53F">
                <v:fill o:detectmouseclick="t" type="solid" color2="#422811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 xml:space="preserve">3.1. </w:t>
                        <w:br/>
                        <w:t>Израда годишњих планова с циљем рјешавања имовинскоправних односа (уређивања власништва) на некретнинама Града Градишке у земљишним књигама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5080" distB="5080" distL="5715" distR="4445" simplePos="0" locked="0" layoutInCell="1" allowOverlap="1" relativeHeight="10" wp14:anchorId="7142F712">
                <wp:simplePos x="0" y="0"/>
                <wp:positionH relativeFrom="column">
                  <wp:posOffset>36830</wp:posOffset>
                </wp:positionH>
                <wp:positionV relativeFrom="paragraph">
                  <wp:posOffset>5080</wp:posOffset>
                </wp:positionV>
                <wp:extent cx="1368425" cy="1316990"/>
                <wp:effectExtent l="5715" t="5080" r="4445" b="5080"/>
                <wp:wrapNone/>
                <wp:docPr id="9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8360" cy="131688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+mn-ea"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</w:rPr>
                              <w:t xml:space="preserve">1.1. </w:t>
                              <w:br/>
                              <w:t xml:space="preserve">Успостава организационих предуслова за цјеловито и свеобухватно евидентирање градске имовине 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fillcolor="#ffc000" stroked="t" o:allowincell="f" style="position:absolute;margin-left:2.9pt;margin-top:0.4pt;width:107.7pt;height:103.65pt;mso-wrap-style:square;v-text-anchor:top" wp14:anchorId="7142F712">
                <v:fill o:detectmouseclick="t" type="solid" color2="#003fff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eastAsia="+mn-ea" w:cs="Arial" w:ascii="Arial" w:hAnsi="Arial"/>
                          <w:color w:val="000000"/>
                          <w:kern w:val="2"/>
                          <w:sz w:val="20"/>
                          <w:szCs w:val="20"/>
                        </w:rPr>
                        <w:t xml:space="preserve">1.1. </w:t>
                        <w:br/>
                        <w:t xml:space="preserve">Успостава организационих предуслова за цјеловито и свеобухватно евидентирање градске имовине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5715" distB="4445" distL="5080" distR="5080" simplePos="0" locked="0" layoutInCell="1" allowOverlap="1" relativeHeight="12" wp14:anchorId="310D710A">
                <wp:simplePos x="0" y="0"/>
                <wp:positionH relativeFrom="column">
                  <wp:posOffset>2018665</wp:posOffset>
                </wp:positionH>
                <wp:positionV relativeFrom="paragraph">
                  <wp:posOffset>4445</wp:posOffset>
                </wp:positionV>
                <wp:extent cx="1437005" cy="1141095"/>
                <wp:effectExtent l="5080" t="5715" r="5080" b="4445"/>
                <wp:wrapNone/>
                <wp:docPr id="10" name="Text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7120" cy="1141200"/>
                        </a:xfrm>
                        <a:prstGeom prst="rect">
                          <a:avLst/>
                        </a:prstGeom>
                        <a:solidFill>
                          <a:srgbClr val="a9d18e"/>
                        </a:solidFill>
                        <a:ln w="9525">
                          <a:solidFill>
                            <a:srgbClr val="00206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</w:rPr>
                              <w:t>2.1.</w:t>
                              <w:br/>
                              <w:t>Унапређење и повезивање процеса рада и информацијских система у односу на градску имовину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4" path="m0,0l-2147483645,0l-2147483645,-2147483646l0,-2147483646xe" fillcolor="#a9d18e" stroked="t" o:allowincell="f" style="position:absolute;margin-left:158.95pt;margin-top:0.35pt;width:113.1pt;height:89.8pt;flip:x;mso-wrap-style:square;v-text-anchor:top" wp14:anchorId="310D710A">
                <v:fill o:detectmouseclick="t" type="solid" color2="#562e71"/>
                <v:stroke color="#002060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kern w:val="2"/>
                          <w:sz w:val="20"/>
                          <w:szCs w:val="20"/>
                        </w:rPr>
                        <w:t>2.1.</w:t>
                        <w:br/>
                        <w:t>Унапређење и повезивање процеса рада и информацијских система у односу на градску имовину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5715" distB="4445" distL="5080" distR="5080" simplePos="0" locked="0" layoutInCell="1" allowOverlap="1" relativeHeight="14" wp14:anchorId="6BB65E14">
                <wp:simplePos x="0" y="0"/>
                <wp:positionH relativeFrom="column">
                  <wp:posOffset>2058670</wp:posOffset>
                </wp:positionH>
                <wp:positionV relativeFrom="paragraph">
                  <wp:posOffset>387985</wp:posOffset>
                </wp:positionV>
                <wp:extent cx="1372870" cy="1538605"/>
                <wp:effectExtent l="5080" t="5715" r="5080" b="4445"/>
                <wp:wrapNone/>
                <wp:docPr id="11" name="Text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73040" cy="1538640"/>
                        </a:xfrm>
                        <a:prstGeom prst="rect">
                          <a:avLst/>
                        </a:prstGeom>
                        <a:solidFill>
                          <a:srgbClr val="a9d18e"/>
                        </a:solidFill>
                        <a:ln w="9525">
                          <a:solidFill>
                            <a:srgbClr val="00206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</w:rPr>
                              <w:t xml:space="preserve">2.2. </w:t>
                              <w:br/>
                              <w:t>Повећање финансијских  ефеката и рационализација трошкова у односу на градску имовину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4" path="m0,0l-2147483645,0l-2147483645,-2147483646l0,-2147483646xe" fillcolor="#a9d18e" stroked="t" o:allowincell="f" style="position:absolute;margin-left:162.1pt;margin-top:30.55pt;width:108.05pt;height:121.1pt;flip:x;mso-wrap-style:square;v-text-anchor:top" wp14:anchorId="6BB65E14">
                <v:fill o:detectmouseclick="t" type="solid" color2="#562e71"/>
                <v:stroke color="#002060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kern w:val="2"/>
                          <w:sz w:val="20"/>
                          <w:szCs w:val="20"/>
                        </w:rPr>
                        <w:t xml:space="preserve">2.2. </w:t>
                        <w:br/>
                        <w:t>Повећање финансијских  ефеката и рационализација трошкова у односу на градску имовину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20" wp14:anchorId="4E44101D">
                <wp:simplePos x="0" y="0"/>
                <wp:positionH relativeFrom="column">
                  <wp:posOffset>4065270</wp:posOffset>
                </wp:positionH>
                <wp:positionV relativeFrom="paragraph">
                  <wp:posOffset>378460</wp:posOffset>
                </wp:positionV>
                <wp:extent cx="1426210" cy="1590040"/>
                <wp:effectExtent l="5080" t="5080" r="5080" b="5080"/>
                <wp:wrapNone/>
                <wp:docPr id="12" name="Text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320" cy="1590120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  <w:lang w:val="sr-Latn-BA"/>
                              </w:rPr>
                              <w:t>2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  <w:br/>
                              <w:t xml:space="preserve">Успостава базе података и унапрјеђење вођења судских и управних поступака </w:t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  <w:lang w:val="sr-BA"/>
                              </w:rPr>
                              <w:t xml:space="preserve">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>имовинскоправних</w:t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>односа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0" path="m0,0l-2147483645,0l-2147483645,-2147483646l0,-2147483646xe" fillcolor="#bdd7ee" stroked="t" o:allowincell="f" style="position:absolute;margin-left:320.1pt;margin-top:29.8pt;width:112.25pt;height:125.15pt;mso-wrap-style:square;v-text-anchor:top" wp14:anchorId="4E44101D">
                <v:fill o:detectmouseclick="t" type="solid" color2="#422811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>3.</w:t>
                      </w: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  <w:lang w:val="sr-Latn-BA"/>
                        </w:rPr>
                        <w:t>2</w:t>
                      </w: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 xml:space="preserve">. </w:t>
                        <w:br/>
                        <w:t xml:space="preserve">Успостава базе података и унапрјеђење вођења судских и управних поступака </w:t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  <w:lang w:val="sr-BA"/>
                        </w:rPr>
                        <w:t xml:space="preserve"> </w:t>
                      </w: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>имовинскоправних</w:t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>односа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5080" distB="5080" distL="5715" distR="4445" simplePos="0" locked="0" layoutInCell="1" allowOverlap="1" relativeHeight="18" wp14:anchorId="242B0346">
                <wp:simplePos x="0" y="0"/>
                <wp:positionH relativeFrom="column">
                  <wp:posOffset>36830</wp:posOffset>
                </wp:positionH>
                <wp:positionV relativeFrom="paragraph">
                  <wp:posOffset>60960</wp:posOffset>
                </wp:positionV>
                <wp:extent cx="1351915" cy="1375410"/>
                <wp:effectExtent l="5715" t="5080" r="4445" b="5080"/>
                <wp:wrapNone/>
                <wp:docPr id="13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800" cy="13755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+mn-ea"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eastAsia="+mn-ea"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  <w:lang w:val="sr-Latn-BA"/>
                              </w:rPr>
                              <w:t>2</w:t>
                            </w:r>
                            <w:r>
                              <w:rPr>
                                <w:rFonts w:eastAsia="+mn-ea"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</w:rPr>
                              <w:t>.</w:t>
                              <w:br/>
                              <w:t>Примјена концепта функционалне класификације некретнина свих јединица градске имовине (ПРЛС)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fillcolor="#ffc000" stroked="t" o:allowincell="f" style="position:absolute;margin-left:2.9pt;margin-top:4.8pt;width:106.4pt;height:108.25pt;mso-wrap-style:square;v-text-anchor:top" wp14:anchorId="242B0346">
                <v:fill o:detectmouseclick="t" type="solid" color2="#003fff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eastAsia="+mn-ea" w:cs="Arial" w:ascii="Arial" w:hAnsi="Arial"/>
                          <w:color w:val="000000"/>
                          <w:kern w:val="2"/>
                          <w:sz w:val="20"/>
                          <w:szCs w:val="20"/>
                        </w:rPr>
                        <w:t>1.</w:t>
                      </w:r>
                      <w:r>
                        <w:rPr>
                          <w:rFonts w:eastAsia="+mn-ea" w:cs="Arial" w:ascii="Arial" w:hAnsi="Arial"/>
                          <w:color w:val="000000"/>
                          <w:kern w:val="2"/>
                          <w:sz w:val="20"/>
                          <w:szCs w:val="20"/>
                          <w:lang w:val="sr-Latn-BA"/>
                        </w:rPr>
                        <w:t>2</w:t>
                      </w:r>
                      <w:r>
                        <w:rPr>
                          <w:rFonts w:eastAsia="+mn-ea" w:cs="Arial" w:ascii="Arial" w:hAnsi="Arial"/>
                          <w:color w:val="000000"/>
                          <w:kern w:val="2"/>
                          <w:sz w:val="20"/>
                          <w:szCs w:val="20"/>
                        </w:rPr>
                        <w:t>.</w:t>
                        <w:br/>
                        <w:t>Примјена концепта функционалне класификације некретнина свих јединица градске имовине (ПРЛС)</w:t>
                      </w:r>
                    </w:p>
                    <w:p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5715" distB="4445" distL="5080" distR="5080" simplePos="0" locked="0" layoutInCell="1" allowOverlap="1" relativeHeight="22" wp14:anchorId="21296CFF">
                <wp:simplePos x="0" y="0"/>
                <wp:positionH relativeFrom="column">
                  <wp:posOffset>2058670</wp:posOffset>
                </wp:positionH>
                <wp:positionV relativeFrom="paragraph">
                  <wp:posOffset>90170</wp:posOffset>
                </wp:positionV>
                <wp:extent cx="1372870" cy="1477645"/>
                <wp:effectExtent l="5080" t="5715" r="5080" b="4445"/>
                <wp:wrapNone/>
                <wp:docPr id="14" name="Text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73040" cy="1477800"/>
                        </a:xfrm>
                        <a:prstGeom prst="rect">
                          <a:avLst/>
                        </a:prstGeom>
                        <a:solidFill>
                          <a:srgbClr val="a9d18e"/>
                        </a:solidFill>
                        <a:ln w="9525">
                          <a:solidFill>
                            <a:srgbClr val="00206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kern w:val="2"/>
                                <w:sz w:val="20"/>
                                <w:szCs w:val="20"/>
                              </w:rPr>
                              <w:t xml:space="preserve">2.3. </w:t>
                              <w:br/>
                              <w:t>Успостава   координација између одјељења надлежних за управљање некретнинама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4" path="m0,0l-2147483645,0l-2147483645,-2147483646l0,-2147483646xe" fillcolor="#a9d18e" stroked="t" o:allowincell="f" style="position:absolute;margin-left:162.1pt;margin-top:7.1pt;width:108.05pt;height:116.3pt;flip:x;mso-wrap-style:square;v-text-anchor:top" wp14:anchorId="21296CFF">
                <v:fill o:detectmouseclick="t" type="solid" color2="#562e71"/>
                <v:stroke color="#002060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kern w:val="2"/>
                          <w:sz w:val="20"/>
                          <w:szCs w:val="20"/>
                        </w:rPr>
                        <w:t xml:space="preserve">2.3. </w:t>
                        <w:br/>
                        <w:t>Успостава   координација између одјељења надлежних за управљање некретнинама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5715" distB="4445" distL="5080" distR="5080" simplePos="0" locked="0" layoutInCell="1" allowOverlap="1" relativeHeight="24" wp14:anchorId="4D4740F0">
                <wp:simplePos x="0" y="0"/>
                <wp:positionH relativeFrom="column">
                  <wp:posOffset>4110990</wp:posOffset>
                </wp:positionH>
                <wp:positionV relativeFrom="paragraph">
                  <wp:posOffset>48895</wp:posOffset>
                </wp:positionV>
                <wp:extent cx="1426210" cy="1339215"/>
                <wp:effectExtent l="5080" t="5715" r="5080" b="4445"/>
                <wp:wrapNone/>
                <wp:docPr id="15" name="Text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320" cy="1339200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  <w:lang w:val="sr-Latn-BA"/>
                              </w:rPr>
                              <w:t>3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  <w:szCs w:val="20"/>
                              </w:rPr>
                              <w:t>Унапрјеђење поступања с градском имовином коју користе јавне установе којима је оснивач Град Градишка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0" path="m0,0l-2147483645,0l-2147483645,-2147483646l0,-2147483646xe" fillcolor="#bdd7ee" stroked="t" o:allowincell="f" style="position:absolute;margin-left:323.7pt;margin-top:3.85pt;width:112.25pt;height:105.4pt;mso-wrap-style:square;v-text-anchor:top" wp14:anchorId="4D4740F0">
                <v:fill o:detectmouseclick="t" type="solid" color2="#422811"/>
                <v:stroke color="black" weight="9360" joinstyle="miter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>3.</w:t>
                      </w: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  <w:lang w:val="sr-Latn-BA"/>
                        </w:rPr>
                        <w:t>3</w:t>
                      </w: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  <w:szCs w:val="20"/>
                        </w:rPr>
                        <w:t>Унапрјеђење поступања с градском имовином коју користе јавне установе којима је оснивач Град Градишка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Heading1"/>
        <w:rPr>
          <w:rFonts w:ascii="Arial" w:hAnsi="Arial" w:cs="Arial"/>
          <w:b/>
          <w:color w:val="auto"/>
          <w:lang w:val="sr-Latn-BA"/>
        </w:rPr>
      </w:pPr>
      <w:r>
        <w:rPr>
          <w:rFonts w:cs="Arial" w:ascii="Arial" w:hAnsi="Arial"/>
          <w:b/>
          <w:color w:themeColor="accent1" w:themeShade="bf" w:val="auto"/>
          <w:lang w:val="sr-Latn-BA"/>
        </w:rPr>
      </w:r>
    </w:p>
    <w:p>
      <w:pPr>
        <w:pStyle w:val="Heading1"/>
        <w:rPr>
          <w:rFonts w:ascii="Arial" w:hAnsi="Arial" w:cs="Arial"/>
          <w:b/>
          <w:color w:val="auto"/>
          <w:lang w:val="sr-Latn-BA"/>
        </w:rPr>
      </w:pPr>
      <w:r>
        <w:rPr>
          <w:rFonts w:cs="Arial" w:ascii="Arial" w:hAnsi="Arial"/>
          <w:b/>
          <w:color w:themeColor="accent1" w:themeShade="bf" w:val="auto"/>
          <w:lang w:val="sr-Latn-BA"/>
        </w:rPr>
      </w:r>
    </w:p>
    <w:p>
      <w:pPr>
        <w:pStyle w:val="Heading1"/>
        <w:rPr>
          <w:rFonts w:ascii="Arial" w:hAnsi="Arial" w:cs="Arial"/>
          <w:b/>
          <w:color w:val="auto"/>
          <w:lang w:val="sr-Latn-BA"/>
        </w:rPr>
      </w:pPr>
      <w:r>
        <w:rPr>
          <w:rFonts w:cs="Arial" w:ascii="Arial" w:hAnsi="Arial"/>
          <w:b/>
          <w:color w:themeColor="accent1" w:themeShade="bf" w:val="auto"/>
          <w:lang w:val="sr-Latn-BA"/>
        </w:rPr>
      </w:r>
    </w:p>
    <w:p>
      <w:pPr>
        <w:pStyle w:val="Heading1"/>
        <w:rPr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  <w:lang w:val="sr-Latn-BA"/>
        </w:rPr>
        <w:t>3.</w:t>
      </w:r>
      <w:bookmarkStart w:id="2" w:name="_Toc143073050"/>
      <w:r>
        <w:rPr>
          <w:rFonts w:cs="Arial" w:ascii="Arial" w:hAnsi="Arial"/>
          <w:b/>
          <w:color w:val="auto"/>
          <w:sz w:val="24"/>
          <w:szCs w:val="24"/>
        </w:rPr>
        <w:t xml:space="preserve"> Избор  мјера и активности за реализацију у 202</w:t>
      </w:r>
      <w:r>
        <w:rPr>
          <w:rFonts w:cs="Arial" w:ascii="Arial" w:hAnsi="Arial"/>
          <w:b/>
          <w:color w:val="auto"/>
          <w:sz w:val="24"/>
          <w:szCs w:val="24"/>
          <w:lang w:val="sr-BA"/>
        </w:rPr>
        <w:t>6</w:t>
      </w:r>
      <w:r>
        <w:rPr>
          <w:rFonts w:cs="Arial" w:ascii="Arial" w:hAnsi="Arial"/>
          <w:b/>
          <w:color w:val="auto"/>
          <w:sz w:val="24"/>
          <w:szCs w:val="24"/>
        </w:rPr>
        <w:t>. години</w:t>
      </w:r>
      <w:bookmarkEnd w:id="2"/>
    </w:p>
    <w:p>
      <w:pPr>
        <w:pStyle w:val="Normal"/>
        <w:spacing w:lineRule="auto" w:line="276" w:before="0" w:after="200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Код избора стратешких циљева, посебних циљева и мјера за 202</w:t>
      </w:r>
      <w:r>
        <w:rPr>
          <w:rFonts w:eastAsia="Calibri" w:cs="Arial" w:ascii="Arial" w:hAnsi="Arial"/>
          <w:sz w:val="24"/>
          <w:szCs w:val="24"/>
          <w:lang w:val="sr-BA" w:eastAsia="en-US"/>
        </w:rPr>
        <w:t>6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. годину, кључне смјернице су: </w:t>
      </w:r>
    </w:p>
    <w:p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наставак имплементације Стратегије управљања и располагања имовином у власништву Града Градишка с реално могућим остварењем циљева у 202</w:t>
      </w:r>
      <w:r>
        <w:rPr>
          <w:rFonts w:cs="Arial" w:ascii="Arial" w:hAnsi="Arial"/>
          <w:sz w:val="24"/>
          <w:szCs w:val="24"/>
          <w:lang w:val="sr-BA"/>
        </w:rPr>
        <w:t>6</w:t>
      </w:r>
      <w:r>
        <w:rPr>
          <w:rFonts w:cs="Arial" w:ascii="Arial" w:hAnsi="Arial"/>
          <w:sz w:val="24"/>
          <w:szCs w:val="24"/>
        </w:rPr>
        <w:t>. години</w:t>
      </w:r>
    </w:p>
    <w:p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наставак започетих процеса квалитетнијег и свеобухватнијег евидентирања градске имовине, посебно имовине пренесене са виших нивоа власти.</w:t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Стратегијом управљања и располагања имовином у власништву Града Градишка утврђена су три стратешка циља, десет приоритета и 35 мјера.</w:t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У Годишњем плану управљања и располагања имовином у власништву Града Градишка за 202</w:t>
      </w:r>
      <w:r>
        <w:rPr>
          <w:rFonts w:eastAsia="Calibri" w:cs="Arial" w:ascii="Arial" w:hAnsi="Arial"/>
          <w:sz w:val="24"/>
          <w:szCs w:val="24"/>
          <w:lang w:val="sr-Latn-BA" w:eastAsia="en-US"/>
        </w:rPr>
        <w:t>6.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годину одабране су мјере и активности</w:t>
      </w:r>
      <w:r>
        <w:rPr>
          <w:rFonts w:eastAsia="Calibri" w:cs="Arial" w:ascii="Arial" w:hAnsi="Arial"/>
          <w:sz w:val="24"/>
          <w:szCs w:val="24"/>
          <w:lang w:val="sr-Latn-BA" w:eastAsia="en-US"/>
        </w:rPr>
        <w:t xml:space="preserve"> са циљем да се осигурају 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претпоставке за имплементацију посебних циљева који се везују на стратешке циљеве везане уз управљање имовином у власништву Града Градишка.</w:t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Будући да Стратегија управљања и располагања имовином у власништву Града Градишка за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период </w:t>
      </w:r>
      <w:r>
        <w:rPr>
          <w:rFonts w:eastAsia="Calibri" w:cs="Arial" w:ascii="Arial" w:hAnsi="Arial"/>
          <w:sz w:val="24"/>
          <w:szCs w:val="24"/>
          <w:lang w:eastAsia="en-US"/>
        </w:rPr>
        <w:t>од 2024. до 2030. године није обухватила све редовне послове које Град Градишка обавља везано уз управљање имовином, исти нису ни обухваћени у потпуности овим Годишњим планом управљања имовином у власништву Града Градишка за 202</w:t>
      </w:r>
      <w:r>
        <w:rPr>
          <w:rFonts w:eastAsia="Calibri" w:cs="Arial" w:ascii="Arial" w:hAnsi="Arial"/>
          <w:sz w:val="24"/>
          <w:szCs w:val="24"/>
          <w:lang w:val="sr-Latn-BA" w:eastAsia="en-US"/>
        </w:rPr>
        <w:t>6</w:t>
      </w:r>
      <w:r>
        <w:rPr>
          <w:rFonts w:eastAsia="Calibri" w:cs="Arial" w:ascii="Arial" w:hAnsi="Arial"/>
          <w:sz w:val="24"/>
          <w:szCs w:val="24"/>
          <w:lang w:eastAsia="en-US"/>
        </w:rPr>
        <w:t>. годину. Редовни послови управљања имовином Града Градишка (нпр. припрема документације за провођење укњижавања, издавање табуларних исправа, одржавање некретнина и слично) обављаће се у континуитету у складу са законским и подзаконским прописима, као и општим актима Града Градишка, ради реализације пројеката од интереса за Град, у складу са осигураним средствима у Буџету Града Градишка за 202</w:t>
      </w:r>
      <w:r>
        <w:rPr>
          <w:rFonts w:eastAsia="Calibri" w:cs="Arial" w:ascii="Arial" w:hAnsi="Arial"/>
          <w:sz w:val="24"/>
          <w:szCs w:val="24"/>
          <w:lang w:val="sr-Latn-BA" w:eastAsia="en-US"/>
        </w:rPr>
        <w:t>6</w:t>
      </w:r>
      <w:r>
        <w:rPr>
          <w:rFonts w:eastAsia="Calibri" w:cs="Arial" w:ascii="Arial" w:hAnsi="Arial"/>
          <w:sz w:val="24"/>
          <w:szCs w:val="24"/>
          <w:lang w:eastAsia="en-US"/>
        </w:rPr>
        <w:t>. годину.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Град</w:t>
      </w:r>
      <w:r>
        <w:rPr>
          <w:rFonts w:ascii="Arial" w:hAnsi="Arial"/>
          <w:sz w:val="24"/>
          <w:szCs w:val="24"/>
          <w:lang w:val="sr-Latn-BA"/>
        </w:rPr>
        <w:t xml:space="preserve"> Градишка</w:t>
      </w:r>
      <w:r>
        <w:rPr>
          <w:rFonts w:ascii="Arial" w:hAnsi="Arial"/>
          <w:sz w:val="24"/>
          <w:szCs w:val="24"/>
          <w:lang w:val="sr-BA"/>
        </w:rPr>
        <w:t xml:space="preserve"> треба </w:t>
      </w:r>
      <w:r>
        <w:rPr>
          <w:rFonts w:ascii="Arial" w:hAnsi="Arial"/>
          <w:sz w:val="24"/>
          <w:szCs w:val="24"/>
        </w:rPr>
        <w:t xml:space="preserve">на рационалан  начин управљати </w:t>
      </w:r>
      <w:r>
        <w:rPr>
          <w:rFonts w:ascii="Arial" w:hAnsi="Arial"/>
          <w:sz w:val="24"/>
          <w:szCs w:val="24"/>
          <w:lang w:val="sr-Latn-BA"/>
        </w:rPr>
        <w:t xml:space="preserve">имовином , а када су у питању </w:t>
      </w:r>
      <w:r>
        <w:rPr>
          <w:rFonts w:ascii="Arial" w:hAnsi="Arial"/>
          <w:sz w:val="24"/>
          <w:szCs w:val="24"/>
        </w:rPr>
        <w:t>пословни простори и станови - на начин да они пословни простори и станови који су потребни Граду буду стављени у функцију која ће служити његовом рационалнијем</w:t>
      </w:r>
      <w:r>
        <w:rPr>
          <w:rFonts w:ascii="Arial" w:hAnsi="Arial"/>
          <w:sz w:val="24"/>
          <w:szCs w:val="24"/>
          <w:lang w:val="sr-Latn-BA"/>
        </w:rPr>
        <w:t xml:space="preserve"> и ефикаснијем функционисању</w:t>
      </w:r>
      <w:r>
        <w:rPr>
          <w:rFonts w:ascii="Arial" w:hAnsi="Arial"/>
          <w:sz w:val="24"/>
          <w:szCs w:val="24"/>
        </w:rPr>
        <w:t xml:space="preserve">. </w:t>
      </w:r>
    </w:p>
    <w:p>
      <w:pPr>
        <w:pStyle w:val="Normal"/>
        <w:jc w:val="both"/>
        <w:rPr/>
      </w:pPr>
      <w:r>
        <w:rPr>
          <w:rFonts w:ascii="Arial" w:hAnsi="Arial"/>
          <w:sz w:val="24"/>
          <w:szCs w:val="24"/>
        </w:rPr>
        <w:t xml:space="preserve">Сви  станови и пословни простори </w:t>
      </w:r>
      <w:r>
        <w:rPr>
          <w:rFonts w:ascii="Arial" w:hAnsi="Arial"/>
          <w:sz w:val="24"/>
          <w:szCs w:val="24"/>
          <w:lang w:val="sr-Latn-BA"/>
        </w:rPr>
        <w:t>који Граду представљају трошак</w:t>
      </w:r>
      <w:r>
        <w:rPr>
          <w:rFonts w:ascii="Arial" w:hAnsi="Arial"/>
          <w:sz w:val="24"/>
          <w:szCs w:val="24"/>
          <w:lang w:val="sr-BA"/>
        </w:rPr>
        <w:t xml:space="preserve"> требају </w:t>
      </w:r>
      <w:r>
        <w:rPr>
          <w:rFonts w:ascii="Arial" w:hAnsi="Arial"/>
          <w:sz w:val="24"/>
          <w:szCs w:val="24"/>
        </w:rPr>
        <w:t xml:space="preserve">бити понуђени на тржишту било у форми </w:t>
      </w:r>
      <w:r>
        <w:rPr>
          <w:rFonts w:ascii="Arial" w:hAnsi="Arial"/>
          <w:sz w:val="24"/>
          <w:szCs w:val="24"/>
          <w:lang w:val="sr-Latn-BA"/>
        </w:rPr>
        <w:t>закупа</w:t>
      </w:r>
      <w:r>
        <w:rPr>
          <w:rFonts w:ascii="Arial" w:hAnsi="Arial"/>
          <w:sz w:val="24"/>
          <w:szCs w:val="24"/>
        </w:rPr>
        <w:t xml:space="preserve">,  било у форми њихове продаје јавним </w:t>
      </w:r>
      <w:r>
        <w:rPr>
          <w:rFonts w:ascii="Arial" w:hAnsi="Arial"/>
          <w:sz w:val="24"/>
          <w:szCs w:val="24"/>
          <w:lang w:val="sr-Latn-BA"/>
        </w:rPr>
        <w:t>оглашавњем.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4"/>
          <w:szCs w:val="24"/>
        </w:rPr>
        <w:t>Грађевинско земљиште је</w:t>
      </w:r>
      <w:hyperlink r:id="rId9">
        <w:r>
          <w:rPr>
            <w:rStyle w:val="ListLabel46"/>
            <w:rFonts w:eastAsia="Arial" w:cs="Arial" w:ascii="Arial" w:hAnsi="Arial"/>
            <w:sz w:val="24"/>
            <w:szCs w:val="24"/>
          </w:rPr>
          <w:t xml:space="preserve"> </w:t>
        </w:r>
      </w:hyperlink>
      <w:r>
        <w:rPr>
          <w:rFonts w:eastAsia="Arial" w:cs="Arial" w:ascii="Arial" w:hAnsi="Arial"/>
          <w:sz w:val="24"/>
          <w:szCs w:val="24"/>
        </w:rPr>
        <w:t xml:space="preserve">земљиште које је изграђено, уређено или просторним планом намијењено за грађење грађевина или уређење површина јавне намјене. 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Грађевинско земљиште чини важан</w:t>
      </w:r>
      <w:r>
        <w:rPr>
          <w:rFonts w:cs="Arial" w:ascii="Arial" w:hAnsi="Arial"/>
          <w:sz w:val="24"/>
          <w:szCs w:val="24"/>
          <w:lang w:val="sr-Latn-BA"/>
        </w:rPr>
        <w:t xml:space="preserve"> сегмент </w:t>
      </w:r>
      <w:r>
        <w:rPr>
          <w:rFonts w:cs="Arial" w:ascii="Arial" w:hAnsi="Arial"/>
          <w:sz w:val="24"/>
          <w:szCs w:val="24"/>
        </w:rPr>
        <w:t>некретнина у власништву Града</w:t>
      </w:r>
      <w:r>
        <w:rPr>
          <w:rFonts w:cs="Arial" w:ascii="Arial" w:hAnsi="Arial"/>
          <w:sz w:val="24"/>
          <w:szCs w:val="24"/>
          <w:lang w:val="sr-Latn-BA"/>
        </w:rPr>
        <w:t xml:space="preserve"> Градишка </w:t>
      </w:r>
      <w:r>
        <w:rPr>
          <w:rFonts w:cs="Arial" w:ascii="Arial" w:hAnsi="Arial"/>
          <w:sz w:val="24"/>
          <w:szCs w:val="24"/>
        </w:rPr>
        <w:t xml:space="preserve">који представља велики потенцијал за инвестиције и остваривање економског раста. Активности у управљању и располагању грађевинским земљиштем у власништву Града подразумијевају и провођење поступака стављања тог земљишта у функцију: продајом, оснивањем права служности, рјешавање имовинскоправних односа, давањем у закуп земљишта те </w:t>
      </w:r>
      <w:r>
        <w:rPr>
          <w:rFonts w:cs="Arial" w:ascii="Arial" w:hAnsi="Arial"/>
          <w:sz w:val="24"/>
          <w:szCs w:val="24"/>
          <w:lang w:val="sr-Latn-BA"/>
        </w:rPr>
        <w:t>куповином</w:t>
      </w:r>
      <w:r>
        <w:rPr>
          <w:rFonts w:cs="Arial" w:ascii="Arial" w:hAnsi="Arial"/>
          <w:sz w:val="24"/>
          <w:szCs w:val="24"/>
        </w:rPr>
        <w:t xml:space="preserve"> некретнина за</w:t>
      </w:r>
      <w:r>
        <w:rPr>
          <w:rFonts w:cs="Arial" w:ascii="Arial" w:hAnsi="Arial"/>
          <w:sz w:val="24"/>
          <w:szCs w:val="24"/>
          <w:lang w:val="sr-Latn-BA"/>
        </w:rPr>
        <w:t xml:space="preserve"> потребе </w:t>
      </w:r>
      <w:r>
        <w:rPr>
          <w:rFonts w:cs="Arial" w:ascii="Arial" w:hAnsi="Arial"/>
          <w:sz w:val="24"/>
          <w:szCs w:val="24"/>
        </w:rPr>
        <w:t xml:space="preserve">Града , као и другим пословима у вези са земљиштем у власништву Града, ако управљање и располагање њима није у надлежности другог </w:t>
      </w:r>
      <w:r>
        <w:rPr>
          <w:rFonts w:cs="Arial" w:ascii="Arial" w:hAnsi="Arial"/>
          <w:sz w:val="24"/>
          <w:szCs w:val="24"/>
          <w:lang w:val="sr-Latn-BA"/>
        </w:rPr>
        <w:t>органа</w:t>
      </w:r>
      <w:r>
        <w:rPr>
          <w:rFonts w:cs="Arial" w:ascii="Arial" w:hAnsi="Arial"/>
          <w:sz w:val="24"/>
          <w:szCs w:val="24"/>
        </w:rPr>
        <w:t xml:space="preserve">. </w:t>
      </w:r>
      <w:r>
        <w:rPr>
          <w:rFonts w:cs="Arial" w:ascii="Arial" w:hAnsi="Arial"/>
          <w:sz w:val="24"/>
          <w:szCs w:val="24"/>
          <w:lang w:val="sr-Latn-BA"/>
        </w:rPr>
        <w:t>У 2026. години потребно је да се</w:t>
      </w:r>
      <w:r>
        <w:rPr>
          <w:rFonts w:cs="Arial" w:ascii="Arial" w:hAnsi="Arial"/>
          <w:sz w:val="24"/>
          <w:szCs w:val="24"/>
          <w:lang w:val="sr-BA"/>
        </w:rPr>
        <w:t xml:space="preserve"> настави и заврши  </w:t>
      </w:r>
      <w:r>
        <w:rPr>
          <w:rFonts w:cs="Arial" w:ascii="Arial" w:hAnsi="Arial"/>
          <w:sz w:val="24"/>
          <w:szCs w:val="24"/>
          <w:lang w:val="sr-Latn-BA"/>
        </w:rPr>
        <w:t xml:space="preserve"> поступак припремања и опремања  земљишта за привођење трајној намјени у оквиру Регулационог плана Обилазница -Чатрња.   </w:t>
      </w:r>
      <w:r>
        <w:rPr>
          <w:rFonts w:cs="Arial" w:ascii="Arial" w:hAnsi="Arial"/>
          <w:bCs/>
          <w:iCs/>
          <w:sz w:val="24"/>
          <w:szCs w:val="24"/>
        </w:rPr>
        <w:t>Проблематика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 xml:space="preserve"> везана за  </w:t>
      </w:r>
      <w:r>
        <w:rPr>
          <w:rFonts w:cs="Arial" w:ascii="Arial" w:hAnsi="Arial"/>
          <w:bCs/>
          <w:iCs/>
          <w:sz w:val="24"/>
          <w:szCs w:val="24"/>
        </w:rPr>
        <w:t>пољопривредн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>о</w:t>
      </w:r>
      <w:r>
        <w:rPr>
          <w:rFonts w:cs="Arial" w:ascii="Arial" w:hAnsi="Arial"/>
          <w:bCs/>
          <w:iCs/>
          <w:sz w:val="24"/>
          <w:szCs w:val="24"/>
        </w:rPr>
        <w:t xml:space="preserve"> земљишт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>е</w:t>
      </w:r>
      <w:r>
        <w:rPr>
          <w:rFonts w:cs="Arial" w:ascii="Arial" w:hAnsi="Arial"/>
          <w:bCs/>
          <w:iCs/>
          <w:sz w:val="24"/>
          <w:szCs w:val="24"/>
        </w:rPr>
        <w:t xml:space="preserve"> у Републици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 xml:space="preserve"> Српској </w:t>
      </w:r>
      <w:r>
        <w:rPr>
          <w:rFonts w:cs="Arial" w:ascii="Arial" w:hAnsi="Arial"/>
          <w:bCs/>
          <w:iCs/>
          <w:sz w:val="24"/>
          <w:szCs w:val="24"/>
        </w:rPr>
        <w:t>па тако и једини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>цама</w:t>
      </w:r>
      <w:r>
        <w:rPr>
          <w:rFonts w:cs="Arial" w:ascii="Arial" w:hAnsi="Arial"/>
          <w:bCs/>
          <w:iCs/>
          <w:sz w:val="24"/>
          <w:szCs w:val="24"/>
        </w:rPr>
        <w:t xml:space="preserve"> локалне самоуправе</w:t>
      </w:r>
      <w:r>
        <w:rPr>
          <w:rFonts w:cs="Arial" w:ascii="Arial" w:hAnsi="Arial"/>
          <w:bCs/>
          <w:iCs/>
          <w:sz w:val="24"/>
          <w:szCs w:val="24"/>
          <w:lang w:val="sr-BA"/>
        </w:rPr>
        <w:t xml:space="preserve"> јесте у</w:t>
      </w:r>
      <w:r>
        <w:rPr>
          <w:rFonts w:cs="Arial" w:ascii="Arial" w:hAnsi="Arial"/>
          <w:bCs/>
          <w:iCs/>
          <w:sz w:val="24"/>
          <w:szCs w:val="24"/>
        </w:rPr>
        <w:t xml:space="preserve"> 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>одређивањ</w:t>
      </w:r>
      <w:r>
        <w:rPr>
          <w:rFonts w:cs="Arial" w:ascii="Arial" w:hAnsi="Arial"/>
          <w:bCs/>
          <w:iCs/>
          <w:sz w:val="24"/>
          <w:szCs w:val="24"/>
          <w:lang w:val="sr-BA"/>
        </w:rPr>
        <w:t>у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 xml:space="preserve"> титулара права својине.</w:t>
      </w:r>
      <w:r>
        <w:rPr>
          <w:rFonts w:cs="Arial" w:ascii="Arial" w:hAnsi="Arial"/>
          <w:bCs/>
          <w:iCs/>
          <w:sz w:val="24"/>
          <w:szCs w:val="24"/>
        </w:rPr>
        <w:t xml:space="preserve"> </w:t>
      </w:r>
      <w:r>
        <w:rPr>
          <w:rFonts w:cs="Arial" w:ascii="Arial" w:hAnsi="Arial"/>
          <w:bCs/>
          <w:iCs/>
          <w:sz w:val="24"/>
          <w:szCs w:val="24"/>
          <w:lang w:val="sr-BA"/>
        </w:rPr>
        <w:t>Г</w:t>
      </w:r>
      <w:r>
        <w:rPr>
          <w:rFonts w:cs="Arial" w:ascii="Arial" w:hAnsi="Arial"/>
          <w:bCs/>
          <w:iCs/>
          <w:sz w:val="24"/>
          <w:szCs w:val="24"/>
        </w:rPr>
        <w:t xml:space="preserve">лавни разлози 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>неефикасности додјеле у закуп земљишта ради пољопривредне</w:t>
      </w:r>
      <w:r>
        <w:rPr>
          <w:rFonts w:cs="Arial" w:ascii="Arial" w:hAnsi="Arial"/>
          <w:bCs/>
          <w:iCs/>
          <w:sz w:val="24"/>
          <w:szCs w:val="24"/>
        </w:rPr>
        <w:t xml:space="preserve"> произв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 xml:space="preserve">одње у појединачним случајевима </w:t>
      </w:r>
      <w:r>
        <w:rPr>
          <w:rFonts w:cs="Arial" w:ascii="Arial" w:hAnsi="Arial"/>
          <w:bCs/>
          <w:iCs/>
          <w:sz w:val="24"/>
          <w:szCs w:val="24"/>
          <w:lang w:val="sr-BA"/>
        </w:rPr>
        <w:t>су у уситњености и распршености пољопривредних парцела које се могу додјељивати у закуп</w:t>
      </w:r>
      <w:r>
        <w:rPr>
          <w:rFonts w:cs="Arial" w:ascii="Arial" w:hAnsi="Arial"/>
          <w:bCs/>
          <w:iCs/>
          <w:sz w:val="24"/>
          <w:szCs w:val="24"/>
          <w:lang w:val="sr-Latn-BA"/>
        </w:rPr>
        <w:t xml:space="preserve">. 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Подаци о</w:t>
      </w:r>
      <w:r>
        <w:rPr>
          <w:rFonts w:cs="Arial" w:ascii="Arial" w:hAnsi="Arial"/>
          <w:sz w:val="24"/>
          <w:szCs w:val="24"/>
          <w:lang w:val="sr-Latn-BA"/>
        </w:rPr>
        <w:t xml:space="preserve"> некретнинама </w:t>
      </w:r>
      <w:r>
        <w:rPr>
          <w:rFonts w:cs="Arial" w:ascii="Arial" w:hAnsi="Arial"/>
          <w:sz w:val="24"/>
          <w:szCs w:val="24"/>
        </w:rPr>
        <w:t xml:space="preserve">у власништву Града </w:t>
      </w:r>
      <w:r>
        <w:rPr>
          <w:rFonts w:cs="Arial" w:ascii="Arial" w:hAnsi="Arial"/>
          <w:sz w:val="24"/>
          <w:szCs w:val="24"/>
          <w:lang w:val="sr-Latn-BA"/>
        </w:rPr>
        <w:t>Градишка</w:t>
      </w:r>
      <w:r>
        <w:rPr>
          <w:rFonts w:cs="Arial" w:ascii="Arial" w:hAnsi="Arial"/>
          <w:sz w:val="24"/>
          <w:szCs w:val="24"/>
        </w:rPr>
        <w:t xml:space="preserve"> обједињени су у</w:t>
      </w:r>
      <w:r>
        <w:rPr>
          <w:rFonts w:cs="Arial" w:ascii="Arial" w:hAnsi="Arial"/>
          <w:sz w:val="24"/>
          <w:szCs w:val="24"/>
          <w:lang w:val="sr-Latn-BA"/>
        </w:rPr>
        <w:t xml:space="preserve">  Регистру некретнина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  <w:lang w:val="sr-Latn-BA"/>
        </w:rPr>
        <w:t>и пред  Републичком управом за геодетске и имовинско правне послове ПЈ Градишка</w:t>
      </w:r>
      <w:r>
        <w:rPr>
          <w:rFonts w:cs="Arial" w:ascii="Arial" w:hAnsi="Arial"/>
          <w:sz w:val="24"/>
          <w:szCs w:val="24"/>
        </w:rPr>
        <w:t xml:space="preserve">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200"/>
        <w:jc w:val="both"/>
        <w:rPr/>
      </w:pPr>
      <w:r>
        <w:rPr>
          <w:rFonts w:cs="Arial" w:ascii="Arial" w:hAnsi="Arial"/>
          <w:sz w:val="24"/>
          <w:szCs w:val="24"/>
          <w:lang w:val="sr-Latn-BA"/>
        </w:rPr>
        <w:t>На основу</w:t>
      </w:r>
      <w:bookmarkStart w:id="3" w:name="_Hlk132876120"/>
      <w:r>
        <w:rPr>
          <w:rFonts w:cs="Arial" w:ascii="Arial" w:hAnsi="Arial"/>
          <w:sz w:val="24"/>
          <w:szCs w:val="24"/>
        </w:rPr>
        <w:t xml:space="preserve"> </w:t>
      </w:r>
      <w:hyperlink r:id="rId10">
        <w:r>
          <w:rPr>
            <w:rStyle w:val="ListLabel47"/>
            <w:rFonts w:cs="Arial" w:ascii="Arial" w:hAnsi="Arial"/>
            <w:sz w:val="24"/>
            <w:szCs w:val="24"/>
            <w:lang w:val="sr-BA"/>
          </w:rPr>
          <w:t>Закона о</w:t>
        </w:r>
      </w:hyperlink>
      <w:r>
        <w:rPr>
          <w:rFonts w:cs="Arial" w:ascii="Arial" w:hAnsi="Arial"/>
          <w:sz w:val="24"/>
          <w:szCs w:val="24"/>
          <w:lang w:val="sr-Latn-BA"/>
        </w:rPr>
        <w:t xml:space="preserve"> јавним путевима („Сл.гласник Републике </w:t>
      </w:r>
      <w:r>
        <w:rPr>
          <w:rFonts w:cs="Arial" w:ascii="Arial" w:hAnsi="Arial"/>
          <w:sz w:val="24"/>
          <w:szCs w:val="24"/>
          <w:lang w:val="sr-BA"/>
        </w:rPr>
        <w:t>С</w:t>
      </w:r>
      <w:r>
        <w:rPr>
          <w:rFonts w:cs="Arial" w:ascii="Arial" w:hAnsi="Arial"/>
          <w:sz w:val="24"/>
          <w:szCs w:val="24"/>
          <w:lang w:val="sr-Latn-BA"/>
        </w:rPr>
        <w:t>рпске“ број 89/2013 и 83/2019) Скупштина Града је донијела одлуку о разврставању локалних путева и улица у насељима на подручју општине Градишка,</w:t>
      </w:r>
      <w:r>
        <w:rPr>
          <w:rFonts w:cs="Arial" w:ascii="Arial" w:hAnsi="Arial"/>
          <w:sz w:val="24"/>
          <w:szCs w:val="24"/>
          <w:lang w:val="sr-BA"/>
        </w:rPr>
        <w:t xml:space="preserve"> те посебну одлуку о проглашењу некатеготисаних путева од посебног значаја за Град Градишка („Службени гласник града Градишка „ број13/25 </w:t>
      </w:r>
      <w:r>
        <w:rPr>
          <w:rFonts w:cs="Arial" w:ascii="Arial" w:hAnsi="Arial"/>
          <w:sz w:val="24"/>
          <w:szCs w:val="24"/>
          <w:lang w:val="sr-Latn-BA"/>
        </w:rPr>
        <w:t xml:space="preserve">).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200"/>
        <w:jc w:val="both"/>
        <w:rPr/>
      </w:pPr>
      <w:r>
        <w:rPr>
          <w:rFonts w:cs="Arial" w:ascii="Arial" w:hAnsi="Arial"/>
          <w:sz w:val="24"/>
          <w:szCs w:val="24"/>
          <w:lang w:val="sr-Latn-BA"/>
        </w:rPr>
        <w:t>Скупштина Града на крају 2025. године донијела је програм текућег одржавања и реконструкције локалних и некатегорисаних путева за 202</w:t>
      </w:r>
      <w:r>
        <w:rPr>
          <w:rFonts w:cs="Arial" w:ascii="Arial" w:hAnsi="Arial"/>
          <w:sz w:val="24"/>
          <w:szCs w:val="24"/>
          <w:lang w:val="sr-BA"/>
        </w:rPr>
        <w:t>6</w:t>
      </w:r>
      <w:r>
        <w:rPr>
          <w:rFonts w:cs="Arial" w:ascii="Arial" w:hAnsi="Arial"/>
          <w:sz w:val="24"/>
          <w:szCs w:val="24"/>
          <w:lang w:val="sr-Latn-BA"/>
        </w:rPr>
        <w:t>. годину а такође и програм уређења грађевинског земљишта и програм текућег одржавања хидромелиорационог система за 2026. годину.</w:t>
      </w:r>
      <w:bookmarkEnd w:id="3"/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200"/>
        <w:jc w:val="both"/>
        <w:rPr/>
      </w:pPr>
      <w:r>
        <w:rPr>
          <w:rFonts w:cs="Arial" w:ascii="Arial" w:hAnsi="Arial"/>
          <w:sz w:val="24"/>
          <w:szCs w:val="24"/>
          <w:lang w:val="sr-Latn-BA"/>
        </w:rPr>
        <w:t xml:space="preserve">У наведеним документима је видљиво како је планирано </w:t>
      </w:r>
      <w:r>
        <w:rPr>
          <w:rFonts w:cs="Arial" w:ascii="Arial" w:hAnsi="Arial"/>
          <w:sz w:val="24"/>
          <w:szCs w:val="24"/>
          <w:lang w:val="sr-BA"/>
        </w:rPr>
        <w:t xml:space="preserve">управљање </w:t>
      </w:r>
      <w:r>
        <w:rPr>
          <w:rFonts w:cs="Arial" w:ascii="Arial" w:hAnsi="Arial"/>
          <w:sz w:val="24"/>
          <w:szCs w:val="24"/>
          <w:lang w:val="sr-Latn-BA"/>
        </w:rPr>
        <w:t>имовином, односно инфраструктуром за 202</w:t>
      </w:r>
      <w:r>
        <w:rPr>
          <w:rFonts w:cs="Arial" w:ascii="Arial" w:hAnsi="Arial"/>
          <w:sz w:val="24"/>
          <w:szCs w:val="24"/>
          <w:lang w:val="sr-BA"/>
        </w:rPr>
        <w:t>6</w:t>
      </w:r>
      <w:r>
        <w:rPr>
          <w:rFonts w:cs="Arial" w:ascii="Arial" w:hAnsi="Arial"/>
          <w:sz w:val="24"/>
          <w:szCs w:val="24"/>
          <w:lang w:val="sr-Latn-BA"/>
        </w:rPr>
        <w:t xml:space="preserve">. годину. 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4"/>
          <w:szCs w:val="24"/>
          <w:u w:val="none"/>
        </w:rPr>
        <w:t xml:space="preserve">Управљање </w:t>
      </w:r>
      <w:r>
        <w:rPr>
          <w:rFonts w:eastAsia="Arial" w:cs="Arial" w:ascii="Arial" w:hAnsi="Arial"/>
          <w:sz w:val="24"/>
          <w:szCs w:val="24"/>
          <w:u w:val="none"/>
          <w:lang w:val="sr-BA"/>
        </w:rPr>
        <w:t>јавнм</w:t>
      </w:r>
      <w:r>
        <w:rPr>
          <w:rFonts w:eastAsia="Arial" w:cs="Arial" w:ascii="Arial" w:hAnsi="Arial"/>
          <w:sz w:val="24"/>
          <w:szCs w:val="24"/>
          <w:u w:val="none"/>
        </w:rPr>
        <w:t xml:space="preserve"> спортск</w:t>
      </w:r>
      <w:r>
        <w:rPr>
          <w:rFonts w:eastAsia="Arial" w:cs="Arial" w:ascii="Arial" w:hAnsi="Arial"/>
          <w:sz w:val="24"/>
          <w:szCs w:val="24"/>
          <w:u w:val="none"/>
          <w:lang w:val="sr-Latn-BA"/>
        </w:rPr>
        <w:t xml:space="preserve">им објектима </w:t>
      </w:r>
      <w:r>
        <w:rPr>
          <w:rFonts w:eastAsia="Arial" w:cs="Arial" w:ascii="Arial" w:hAnsi="Arial"/>
          <w:sz w:val="24"/>
          <w:szCs w:val="24"/>
          <w:u w:val="none"/>
        </w:rPr>
        <w:t xml:space="preserve"> </w:t>
      </w:r>
      <w:r>
        <w:rPr>
          <w:rFonts w:eastAsia="Arial" w:cs="Arial" w:ascii="Arial" w:hAnsi="Arial"/>
          <w:sz w:val="24"/>
          <w:szCs w:val="24"/>
          <w:u w:val="none"/>
          <w:lang w:val="sr-Latn-BA"/>
        </w:rPr>
        <w:t>у 202</w:t>
      </w:r>
      <w:r>
        <w:rPr>
          <w:rFonts w:eastAsia="Arial" w:cs="Arial" w:ascii="Arial" w:hAnsi="Arial"/>
          <w:sz w:val="24"/>
          <w:szCs w:val="24"/>
          <w:u w:val="none"/>
          <w:lang w:val="sr-BA"/>
        </w:rPr>
        <w:t>6</w:t>
      </w:r>
      <w:r>
        <w:rPr>
          <w:rFonts w:eastAsia="Arial" w:cs="Arial" w:ascii="Arial" w:hAnsi="Arial"/>
          <w:sz w:val="24"/>
          <w:szCs w:val="24"/>
          <w:u w:val="none"/>
          <w:lang w:val="sr-Latn-BA"/>
        </w:rPr>
        <w:t xml:space="preserve">. години </w:t>
      </w:r>
      <w:r>
        <w:rPr>
          <w:rFonts w:eastAsia="Arial" w:cs="Arial" w:ascii="Arial" w:hAnsi="Arial"/>
          <w:sz w:val="24"/>
          <w:szCs w:val="24"/>
          <w:u w:val="none"/>
        </w:rPr>
        <w:t xml:space="preserve">може се уговором повјерити спортској </w:t>
      </w:r>
      <w:r>
        <w:rPr>
          <w:rFonts w:eastAsia="Arial" w:cs="Arial" w:ascii="Arial" w:hAnsi="Arial"/>
          <w:sz w:val="24"/>
          <w:szCs w:val="24"/>
          <w:u w:val="none"/>
          <w:lang w:val="sr-Latn-BA"/>
        </w:rPr>
        <w:t>организацији која користи објекте или формирати јавно предузеће</w:t>
      </w:r>
      <w:r>
        <w:rPr>
          <w:rFonts w:eastAsia="Arial" w:cs="Arial" w:ascii="Arial" w:hAnsi="Arial"/>
          <w:sz w:val="24"/>
          <w:szCs w:val="24"/>
          <w:u w:val="none"/>
        </w:rPr>
        <w:t xml:space="preserve">  регистр</w:t>
      </w:r>
      <w:r>
        <w:rPr>
          <w:rFonts w:eastAsia="Arial" w:cs="Arial" w:ascii="Arial" w:hAnsi="Arial"/>
          <w:sz w:val="24"/>
          <w:szCs w:val="24"/>
          <w:u w:val="none"/>
          <w:lang w:val="sr-Latn-BA"/>
        </w:rPr>
        <w:t>ованим</w:t>
      </w:r>
      <w:r>
        <w:rPr>
          <w:rFonts w:eastAsia="Arial" w:cs="Arial" w:ascii="Arial" w:hAnsi="Arial"/>
          <w:sz w:val="24"/>
          <w:szCs w:val="24"/>
          <w:u w:val="none"/>
        </w:rPr>
        <w:t xml:space="preserve"> за управљање </w:t>
      </w:r>
      <w:r>
        <w:rPr>
          <w:rFonts w:eastAsia="Arial" w:cs="Arial" w:ascii="Arial" w:hAnsi="Arial"/>
          <w:sz w:val="24"/>
          <w:szCs w:val="24"/>
          <w:u w:val="none"/>
          <w:lang w:val="sr-Latn-BA"/>
        </w:rPr>
        <w:t>спортским</w:t>
      </w:r>
      <w:r>
        <w:rPr>
          <w:rFonts w:eastAsia="Arial" w:cs="Arial" w:ascii="Arial" w:hAnsi="Arial"/>
          <w:sz w:val="24"/>
          <w:szCs w:val="24"/>
          <w:u w:val="none"/>
        </w:rPr>
        <w:t xml:space="preserve"> </w:t>
      </w:r>
      <w:r>
        <w:rPr>
          <w:rFonts w:eastAsia="Arial" w:cs="Arial" w:ascii="Arial" w:hAnsi="Arial"/>
          <w:sz w:val="24"/>
          <w:szCs w:val="24"/>
          <w:u w:val="none"/>
          <w:lang w:val="sr-BA"/>
        </w:rPr>
        <w:t>објектима</w:t>
      </w:r>
      <w:r>
        <w:rPr>
          <w:rFonts w:eastAsia="Arial" w:cs="Arial" w:ascii="Arial" w:hAnsi="Arial"/>
          <w:sz w:val="24"/>
          <w:szCs w:val="24"/>
          <w:u w:val="none"/>
        </w:rPr>
        <w:t>.</w:t>
      </w:r>
      <w:r>
        <w:rPr>
          <w:rFonts w:eastAsia="Arial" w:cs="Arial" w:ascii="Arial" w:hAnsi="Arial"/>
          <w:sz w:val="24"/>
          <w:szCs w:val="24"/>
          <w:u w:val="none"/>
          <w:lang w:val="sr-BA"/>
        </w:rPr>
        <w:t xml:space="preserve"> У току 2026. године планира се наставак обиласка спортских терена на којима се не одржавају манифестације како би се утврдиило стање спортских терена и објеката  и начина управљања таквим теренима, те</w:t>
      </w:r>
      <w:r>
        <w:rPr>
          <w:rFonts w:ascii="Arial" w:hAnsi="Arial"/>
          <w:lang w:val="sr-BA"/>
        </w:rPr>
        <w:t xml:space="preserve">  </w:t>
      </w:r>
      <w:r>
        <w:rPr>
          <w:rFonts w:ascii="Arial" w:hAnsi="Arial"/>
        </w:rPr>
        <w:t xml:space="preserve">оцијенити економске и </w:t>
      </w:r>
      <w:r>
        <w:rPr>
          <w:rFonts w:ascii="Arial" w:hAnsi="Arial"/>
          <w:lang w:val="sr-Latn-BA"/>
        </w:rPr>
        <w:t>финансијске</w:t>
      </w:r>
      <w:r>
        <w:rPr>
          <w:rFonts w:ascii="Arial" w:hAnsi="Arial"/>
        </w:rPr>
        <w:t xml:space="preserve"> учинке управљања и располагања  стадионима и игралиштима,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lang w:val="sr-BA"/>
        </w:rPr>
        <w:t xml:space="preserve">и </w:t>
      </w:r>
      <w:r>
        <w:rPr>
          <w:rFonts w:ascii="Arial" w:hAnsi="Arial"/>
          <w:lang w:val="sr-Latn-BA"/>
        </w:rPr>
        <w:t>успоставити</w:t>
      </w:r>
      <w:r>
        <w:rPr>
          <w:rFonts w:ascii="Arial" w:hAnsi="Arial"/>
        </w:rPr>
        <w:t xml:space="preserve"> унут</w:t>
      </w:r>
      <w:r>
        <w:rPr>
          <w:rFonts w:ascii="Arial" w:hAnsi="Arial"/>
          <w:lang w:val="sr-Latn-BA"/>
        </w:rPr>
        <w:t>рашњу</w:t>
      </w:r>
      <w:r>
        <w:rPr>
          <w:rFonts w:ascii="Arial" w:hAnsi="Arial"/>
        </w:rPr>
        <w:t xml:space="preserve"> контрол</w:t>
      </w:r>
      <w:r>
        <w:rPr>
          <w:rFonts w:ascii="Arial" w:hAnsi="Arial"/>
          <w:lang w:val="sr-Latn-BA"/>
        </w:rPr>
        <w:t>у</w:t>
      </w:r>
      <w:r>
        <w:rPr>
          <w:rFonts w:ascii="Arial" w:hAnsi="Arial"/>
        </w:rPr>
        <w:t xml:space="preserve"> управљањ</w:t>
      </w:r>
      <w:r>
        <w:rPr>
          <w:rFonts w:ascii="Arial" w:hAnsi="Arial"/>
          <w:lang w:val="sr-Latn-BA"/>
        </w:rPr>
        <w:t>а</w:t>
      </w:r>
      <w:r>
        <w:rPr>
          <w:rFonts w:ascii="Arial" w:hAnsi="Arial"/>
        </w:rPr>
        <w:t xml:space="preserve"> и располагањ</w:t>
      </w:r>
      <w:r>
        <w:rPr>
          <w:rFonts w:ascii="Arial" w:hAnsi="Arial"/>
          <w:lang w:val="sr-Latn-BA"/>
        </w:rPr>
        <w:t>а</w:t>
      </w:r>
      <w:r>
        <w:rPr>
          <w:rFonts w:ascii="Arial" w:hAnsi="Arial"/>
        </w:rPr>
        <w:t xml:space="preserve">  стадионима и игралиштима.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Град</w:t>
      </w:r>
      <w:r>
        <w:rPr>
          <w:rFonts w:ascii="Arial" w:hAnsi="Arial"/>
          <w:lang w:val="sr-Latn-BA"/>
        </w:rPr>
        <w:t xml:space="preserve"> Градишка ће током </w:t>
      </w:r>
      <w:r>
        <w:rPr>
          <w:rFonts w:ascii="Arial" w:hAnsi="Arial"/>
        </w:rPr>
        <w:t xml:space="preserve"> 202</w:t>
      </w:r>
      <w:r>
        <w:rPr>
          <w:rFonts w:ascii="Arial" w:hAnsi="Arial"/>
          <w:lang w:val="sr-BA"/>
        </w:rPr>
        <w:t>6</w:t>
      </w:r>
      <w:r>
        <w:rPr>
          <w:rFonts w:ascii="Arial" w:hAnsi="Arial"/>
        </w:rPr>
        <w:t xml:space="preserve">. године вршити  процјену </w:t>
      </w:r>
      <w:r>
        <w:rPr>
          <w:rFonts w:ascii="Arial" w:hAnsi="Arial"/>
          <w:lang w:val="sr-Latn-BA"/>
        </w:rPr>
        <w:t xml:space="preserve">новостечених </w:t>
      </w:r>
      <w:r>
        <w:rPr>
          <w:rFonts w:ascii="Arial" w:hAnsi="Arial"/>
        </w:rPr>
        <w:t>некретнина: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-  у случајевима гдје су процјене нужне </w:t>
      </w:r>
      <w:r>
        <w:rPr>
          <w:rFonts w:ascii="Arial" w:hAnsi="Arial"/>
          <w:lang w:val="sr-Latn-BA"/>
        </w:rPr>
        <w:t>ради уноса имовине у пословне књиге Града</w:t>
      </w:r>
    </w:p>
    <w:p>
      <w:pPr>
        <w:pStyle w:val="Normal"/>
        <w:jc w:val="both"/>
        <w:rPr/>
      </w:pPr>
      <w:r>
        <w:rPr>
          <w:rFonts w:ascii="Arial" w:hAnsi="Arial"/>
          <w:lang w:val="sr-Latn-BA"/>
        </w:rPr>
        <w:t>-</w:t>
      </w:r>
      <w:r>
        <w:rPr>
          <w:rFonts w:ascii="Arial" w:hAnsi="Arial"/>
          <w:lang w:val="sr-BA"/>
        </w:rPr>
        <w:t xml:space="preserve"> приликом</w:t>
      </w:r>
      <w:r>
        <w:rPr>
          <w:rFonts w:ascii="Arial" w:hAnsi="Arial"/>
        </w:rPr>
        <w:t xml:space="preserve"> расписивања јавних</w:t>
      </w:r>
      <w:r>
        <w:rPr>
          <w:rFonts w:ascii="Arial" w:hAnsi="Arial"/>
          <w:lang w:val="sr-Latn-BA"/>
        </w:rPr>
        <w:t xml:space="preserve"> огласа </w:t>
      </w:r>
      <w:r>
        <w:rPr>
          <w:rFonts w:ascii="Arial" w:hAnsi="Arial"/>
        </w:rPr>
        <w:t>за продају некретнина.</w:t>
      </w:r>
    </w:p>
    <w:p>
      <w:pPr>
        <w:pStyle w:val="Normal"/>
        <w:jc w:val="both"/>
        <w:rPr/>
      </w:pPr>
      <w:r>
        <w:rPr>
          <w:rFonts w:ascii="Arial" w:hAnsi="Arial"/>
          <w:lang w:val="sr-BA"/>
        </w:rPr>
        <w:t xml:space="preserve">Процјена ће се приоритетно </w:t>
      </w:r>
      <w:r>
        <w:rPr>
          <w:rFonts w:cs="Arial" w:ascii="Arial" w:hAnsi="Arial"/>
          <w:sz w:val="24"/>
          <w:szCs w:val="24"/>
          <w:lang w:val="sr-BA"/>
        </w:rPr>
        <w:t>извршити за цца 26,7 хектара пољопривредног земљишта које је  Влада Републике Српске пренијела  на Град без накнаде.</w:t>
      </w:r>
    </w:p>
    <w:p>
      <w:pPr>
        <w:pStyle w:val="Normal"/>
        <w:jc w:val="both"/>
        <w:rPr>
          <w:rFonts w:ascii="Arial" w:hAnsi="Arial" w:cs="Arial"/>
          <w:sz w:val="24"/>
          <w:szCs w:val="24"/>
          <w:lang w:val="sr-BA"/>
        </w:rPr>
      </w:pPr>
      <w:r>
        <w:rPr>
          <w:rFonts w:cs="Arial" w:ascii="Arial" w:hAnsi="Arial"/>
          <w:sz w:val="24"/>
          <w:szCs w:val="24"/>
          <w:lang w:val="sr-BA"/>
        </w:rPr>
      </w:r>
    </w:p>
    <w:p>
      <w:pPr>
        <w:pStyle w:val="Normal"/>
        <w:spacing w:lineRule="auto" w:line="276" w:before="0" w:after="200"/>
        <w:ind w:hanging="0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Један од основних задатака у рјешавању</w:t>
      </w:r>
      <w:r>
        <w:rPr>
          <w:rFonts w:cs="Arial" w:ascii="Arial" w:hAnsi="Arial"/>
          <w:sz w:val="24"/>
          <w:szCs w:val="24"/>
          <w:lang w:val="sr-Latn-BA"/>
        </w:rPr>
        <w:t xml:space="preserve"> проблема у имовинско правним односима јесте питање имовине која је остал</w:t>
      </w:r>
      <w:r>
        <w:rPr>
          <w:rFonts w:cs="Arial" w:ascii="Arial" w:hAnsi="Arial"/>
          <w:sz w:val="24"/>
          <w:szCs w:val="24"/>
          <w:lang w:val="sr-BA"/>
        </w:rPr>
        <w:t>а</w:t>
      </w:r>
      <w:r>
        <w:rPr>
          <w:rFonts w:cs="Arial" w:ascii="Arial" w:hAnsi="Arial"/>
          <w:sz w:val="24"/>
          <w:szCs w:val="24"/>
          <w:lang w:val="sr-Latn-BA"/>
        </w:rPr>
        <w:t xml:space="preserve"> уписана на пословне субјекте који су престали да постоје</w:t>
      </w:r>
      <w:r>
        <w:rPr>
          <w:rFonts w:cs="Arial" w:ascii="Arial" w:hAnsi="Arial"/>
          <w:sz w:val="24"/>
          <w:szCs w:val="24"/>
          <w:lang w:val="sr-BA"/>
        </w:rPr>
        <w:t xml:space="preserve"> првенствено грађевинског землјишта и зграда </w:t>
      </w:r>
      <w:r>
        <w:rPr>
          <w:rFonts w:cs="Arial" w:ascii="Arial" w:hAnsi="Arial"/>
          <w:sz w:val="24"/>
          <w:szCs w:val="24"/>
          <w:lang w:val="sr-Latn-BA"/>
        </w:rPr>
        <w:t xml:space="preserve">, као и брисање хипотека које су остале уписане на некретнинама субјеката који су престали да постоје а преносе се на Град. </w:t>
      </w:r>
    </w:p>
    <w:p>
      <w:pPr>
        <w:pStyle w:val="Normal"/>
        <w:spacing w:lineRule="auto" w:line="276" w:before="0" w:after="200"/>
        <w:ind w:hanging="0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  <w:lang w:val="sr-Latn-BA"/>
        </w:rPr>
        <w:t xml:space="preserve">У сарадњи са Правобранилаштвом РС неопходно је завршити процес преноса на Град </w:t>
      </w:r>
      <w:r>
        <w:rPr>
          <w:rFonts w:cs="Arial" w:ascii="Arial" w:hAnsi="Arial"/>
          <w:sz w:val="24"/>
          <w:szCs w:val="24"/>
          <w:lang w:val="sr-BA"/>
        </w:rPr>
        <w:t xml:space="preserve">преостале </w:t>
      </w:r>
      <w:r>
        <w:rPr>
          <w:rFonts w:cs="Arial" w:ascii="Arial" w:hAnsi="Arial"/>
          <w:sz w:val="24"/>
          <w:szCs w:val="24"/>
          <w:lang w:val="sr-Latn-BA"/>
        </w:rPr>
        <w:t>имовине</w:t>
      </w:r>
      <w:r>
        <w:rPr>
          <w:rFonts w:cs="Arial" w:ascii="Arial" w:hAnsi="Arial"/>
          <w:sz w:val="24"/>
          <w:szCs w:val="24"/>
          <w:lang w:val="sr-BA"/>
        </w:rPr>
        <w:t xml:space="preserve"> која се води на субјектима који су престали да постоје </w:t>
      </w:r>
      <w:r>
        <w:rPr>
          <w:rFonts w:cs="Arial" w:ascii="Arial" w:hAnsi="Arial"/>
          <w:sz w:val="24"/>
          <w:szCs w:val="24"/>
          <w:lang w:val="sr-Latn-BA"/>
        </w:rPr>
        <w:t>а у јавним евиденцијама се води као пољопривредно земљиште.</w:t>
      </w:r>
    </w:p>
    <w:p>
      <w:pPr>
        <w:pStyle w:val="Normal"/>
        <w:spacing w:lineRule="auto" w:line="276" w:before="0" w:after="200"/>
        <w:ind w:hanging="0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  <w:lang w:val="sr-BA"/>
        </w:rPr>
        <w:t>Поменута имовина је додатно оптерећена заложним правом те је потребно са поменутих некретнина брисати уписане терете.</w:t>
      </w:r>
      <w:r>
        <w:rPr>
          <w:rFonts w:cs="Arial" w:ascii="Arial" w:hAnsi="Arial"/>
          <w:sz w:val="24"/>
          <w:szCs w:val="24"/>
          <w:lang w:val="sr-Latn-BA"/>
        </w:rPr>
        <w:t xml:space="preserve"> </w:t>
      </w:r>
      <w:r>
        <w:rPr>
          <w:rFonts w:cs="Arial" w:ascii="Arial" w:hAnsi="Arial"/>
          <w:sz w:val="24"/>
          <w:szCs w:val="24"/>
          <w:lang w:val="sr-BA"/>
        </w:rPr>
        <w:t xml:space="preserve">У </w:t>
      </w:r>
      <w:r>
        <w:rPr>
          <w:rFonts w:cs="Arial" w:ascii="Arial" w:hAnsi="Arial"/>
          <w:sz w:val="24"/>
          <w:szCs w:val="24"/>
          <w:lang w:val="sr-Latn-BA"/>
        </w:rPr>
        <w:t>смислу наведеног Град</w:t>
      </w:r>
      <w:r>
        <w:rPr>
          <w:rFonts w:cs="Arial" w:ascii="Arial" w:hAnsi="Arial"/>
          <w:sz w:val="24"/>
          <w:szCs w:val="24"/>
          <w:lang w:val="sr-BA"/>
        </w:rPr>
        <w:t xml:space="preserve"> ће у  наредном </w:t>
      </w:r>
      <w:r>
        <w:rPr>
          <w:rFonts w:cs="Arial" w:ascii="Arial" w:hAnsi="Arial"/>
          <w:sz w:val="24"/>
          <w:szCs w:val="24"/>
          <w:lang w:val="sr-Latn-BA"/>
        </w:rPr>
        <w:t xml:space="preserve"> периоду </w:t>
      </w:r>
      <w:r>
        <w:rPr>
          <w:rFonts w:cs="Arial" w:ascii="Arial" w:hAnsi="Arial"/>
          <w:sz w:val="24"/>
          <w:szCs w:val="24"/>
          <w:lang w:val="sr-BA"/>
        </w:rPr>
        <w:t xml:space="preserve">путем Правобранилаштва РС </w:t>
      </w:r>
      <w:r>
        <w:rPr>
          <w:rFonts w:cs="Arial" w:ascii="Arial" w:hAnsi="Arial"/>
          <w:sz w:val="24"/>
          <w:szCs w:val="24"/>
          <w:lang w:val="sr-Latn-BA"/>
        </w:rPr>
        <w:t>покре</w:t>
      </w:r>
      <w:r>
        <w:rPr>
          <w:rFonts w:cs="Arial" w:ascii="Arial" w:hAnsi="Arial"/>
          <w:sz w:val="24"/>
          <w:szCs w:val="24"/>
          <w:lang w:val="sr-BA"/>
        </w:rPr>
        <w:t>тати</w:t>
      </w:r>
      <w:r>
        <w:rPr>
          <w:rFonts w:cs="Arial" w:ascii="Arial" w:hAnsi="Arial"/>
          <w:sz w:val="24"/>
          <w:szCs w:val="24"/>
          <w:lang w:val="sr-Latn-BA"/>
        </w:rPr>
        <w:t xml:space="preserve"> поступке за пренос  </w:t>
      </w:r>
      <w:r>
        <w:rPr>
          <w:rFonts w:cs="Arial" w:ascii="Arial" w:hAnsi="Arial"/>
          <w:sz w:val="24"/>
          <w:szCs w:val="24"/>
          <w:lang w:val="sr-BA"/>
        </w:rPr>
        <w:t xml:space="preserve">имовине на Град </w:t>
      </w:r>
      <w:r>
        <w:rPr>
          <w:rFonts w:cs="Arial" w:ascii="Arial" w:hAnsi="Arial"/>
          <w:sz w:val="24"/>
          <w:szCs w:val="24"/>
          <w:lang w:val="sr-Latn-BA"/>
        </w:rPr>
        <w:t>који се води пред Министарсвом пољопривреде , шумарства и водопривреде.</w:t>
      </w:r>
    </w:p>
    <w:p>
      <w:pPr>
        <w:pStyle w:val="Normal"/>
        <w:spacing w:lineRule="auto" w:line="276" w:before="0" w:after="200"/>
        <w:ind w:hanging="0"/>
        <w:jc w:val="both"/>
        <w:rPr>
          <w:rFonts w:ascii="Arial" w:hAnsi="Arial"/>
          <w:lang w:val="sr-BA"/>
        </w:rPr>
      </w:pPr>
      <w:r>
        <w:rPr>
          <w:rFonts w:ascii="Arial" w:hAnsi="Arial"/>
          <w:lang w:val="sr-BA"/>
        </w:rPr>
        <w:t>У току 2026. године треба да се покрену поступци везани за привођење земљишта трајној намјени у складу са просторно планском документацијом на локацији зв.“Сушара“ и на тај начин рјеше имовински правни односи са Земљорадничком задругом Градишка.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b/>
          <w:bCs/>
          <w:sz w:val="24"/>
          <w:szCs w:val="24"/>
          <w:lang w:eastAsia="en-US"/>
        </w:rPr>
        <w:t>4</w:t>
      </w:r>
      <w:r>
        <w:rPr>
          <w:rFonts w:eastAsia="Calibri" w:cs="Arial" w:ascii="Arial" w:hAnsi="Arial"/>
          <w:b/>
          <w:bCs/>
          <w:sz w:val="24"/>
          <w:szCs w:val="24"/>
          <w:lang w:eastAsia="en-US"/>
        </w:rPr>
        <w:t>. План циљева, мјера и активности за 202</w:t>
      </w:r>
      <w:r>
        <w:rPr>
          <w:rFonts w:eastAsia="Calibri" w:cs="Arial" w:ascii="Arial" w:hAnsi="Arial"/>
          <w:b/>
          <w:bCs/>
          <w:sz w:val="24"/>
          <w:szCs w:val="24"/>
          <w:lang w:val="sr-BA" w:eastAsia="en-US"/>
        </w:rPr>
        <w:t>6</w:t>
      </w:r>
      <w:r>
        <w:rPr>
          <w:rFonts w:eastAsia="Calibri" w:cs="Arial" w:ascii="Arial" w:hAnsi="Arial"/>
          <w:b/>
          <w:bCs/>
          <w:sz w:val="24"/>
          <w:szCs w:val="24"/>
          <w:lang w:eastAsia="en-US"/>
        </w:rPr>
        <w:t>. годину</w:t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val="sr-Latn-BA" w:eastAsia="en-US"/>
        </w:rPr>
        <w:t>Поред општих циљева утврђених у Стратегији управљања имовином Град Градишка  току 202</w:t>
      </w:r>
      <w:r>
        <w:rPr>
          <w:rFonts w:eastAsia="Calibri" w:cs="Arial" w:ascii="Arial" w:hAnsi="Arial"/>
          <w:sz w:val="24"/>
          <w:szCs w:val="24"/>
          <w:lang w:val="sr-BA" w:eastAsia="en-US"/>
        </w:rPr>
        <w:t>6</w:t>
      </w:r>
      <w:r>
        <w:rPr>
          <w:rFonts w:eastAsia="Calibri" w:cs="Arial" w:ascii="Arial" w:hAnsi="Arial"/>
          <w:sz w:val="24"/>
          <w:szCs w:val="24"/>
          <w:lang w:val="sr-Latn-BA" w:eastAsia="en-US"/>
        </w:rPr>
        <w:t>. године успоставља и  посебне  циљеве како слиједи:</w:t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val="sr-Latn-BA" w:eastAsia="en-US"/>
        </w:rPr>
      </w:pPr>
      <w:r>
        <w:rPr>
          <w:rFonts w:eastAsia="Calibri" w:cs="Arial" w:ascii="Arial" w:hAnsi="Arial"/>
          <w:sz w:val="24"/>
          <w:szCs w:val="24"/>
          <w:lang w:val="sr-Latn-BA" w:eastAsia="en-US"/>
        </w:rPr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1"/>
        <w:gridCol w:w="1740"/>
        <w:gridCol w:w="2190"/>
        <w:gridCol w:w="1711"/>
        <w:gridCol w:w="1770"/>
      </w:tblGrid>
      <w:tr>
        <w:trPr>
          <w:trHeight w:val="300" w:hRule="atLeast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DD7EE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en-US" w:eastAsia="en-US"/>
              </w:rPr>
              <w:t>Приоритет</w:t>
            </w:r>
          </w:p>
        </w:tc>
        <w:tc>
          <w:tcPr>
            <w:tcW w:w="1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DD7EE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en-US" w:eastAsia="en-US"/>
              </w:rPr>
              <w:t>Мјера</w:t>
            </w:r>
          </w:p>
        </w:tc>
        <w:tc>
          <w:tcPr>
            <w:tcW w:w="2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DD7EE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en-US" w:eastAsia="en-US"/>
              </w:rPr>
              <w:t>Активност</w:t>
            </w:r>
          </w:p>
        </w:tc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DD7EE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en-US" w:eastAsia="en-US"/>
              </w:rPr>
              <w:t>Надлежност</w:t>
            </w:r>
          </w:p>
        </w:tc>
        <w:tc>
          <w:tcPr>
            <w:tcW w:w="1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BDD7EE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en-US" w:eastAsia="en-US"/>
              </w:rPr>
              <w:t>Рок</w:t>
            </w:r>
          </w:p>
        </w:tc>
      </w:tr>
      <w:tr>
        <w:trPr>
          <w:trHeight w:val="300" w:hRule="atLeast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en-US" w:eastAsia="en-US"/>
              </w:rPr>
              <w:t>Посебни циљеви</w:t>
            </w:r>
          </w:p>
        </w:tc>
      </w:tr>
      <w:tr>
        <w:trPr>
          <w:trHeight w:val="2400" w:hRule="atLeast"/>
        </w:trPr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  <w:color w:val="363636"/>
                <w:sz w:val="24"/>
                <w:szCs w:val="24"/>
                <w:lang w:val="sr-BA" w:eastAsia="en-US"/>
              </w:rPr>
              <w:t>1.</w:t>
            </w:r>
            <w:r>
              <w:rPr>
                <w:rFonts w:cs="Arial" w:ascii="Arial" w:hAnsi="Arial"/>
                <w:b w:val="false"/>
                <w:bCs w:val="false"/>
                <w:color w:val="363636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color w:val="363636"/>
                <w:sz w:val="24"/>
                <w:szCs w:val="24"/>
                <w:lang w:val="sr-BA" w:eastAsia="en-US"/>
              </w:rPr>
              <w:t>Повећање</w:t>
            </w:r>
            <w:r>
              <w:rPr>
                <w:rFonts w:cs="Arial" w:ascii="Arial" w:hAnsi="Arial"/>
                <w:b w:val="false"/>
                <w:bCs w:val="false"/>
                <w:color w:val="363636"/>
                <w:sz w:val="24"/>
                <w:szCs w:val="24"/>
                <w:lang w:val="en-US" w:eastAsia="en-US"/>
              </w:rPr>
              <w:t xml:space="preserve"> вриједности  некретнина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363636"/>
                <w:sz w:val="24"/>
                <w:szCs w:val="24"/>
                <w:lang w:val="sr-BA" w:eastAsia="en-US"/>
              </w:rPr>
              <w:t>1</w:t>
            </w:r>
            <w:r>
              <w:rPr>
                <w:rFonts w:cs="Arial" w:ascii="Arial" w:hAnsi="Arial"/>
                <w:color w:val="363636"/>
                <w:sz w:val="24"/>
                <w:szCs w:val="24"/>
                <w:lang w:val="en-US" w:eastAsia="en-US"/>
              </w:rPr>
              <w:t>.1.Обилазак терена и детаљно анализирање некретнина са сврхом утврдивања вриједности</w:t>
            </w:r>
          </w:p>
        </w:tc>
        <w:tc>
          <w:tcPr>
            <w:tcW w:w="2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1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.1.1.Обилазак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 xml:space="preserve"> пословних простора  и спортских терена 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на подручју Града</w:t>
            </w: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 xml:space="preserve">Одјељење за комуналне и стамбене послове, 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Одјељење за привреду и друштвене дјелатности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31.12.202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6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</w:tr>
      <w:tr>
        <w:trPr>
          <w:trHeight w:val="900" w:hRule="atLeast"/>
        </w:trPr>
        <w:tc>
          <w:tcPr>
            <w:tcW w:w="1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rPr>
                <w:rFonts w:ascii="Arial" w:hAnsi="Arial" w:cs="Arial"/>
                <w:b/>
                <w:bCs/>
                <w:color w:val="363636"/>
                <w:sz w:val="24"/>
                <w:szCs w:val="24"/>
                <w:lang w:val="en-US" w:eastAsia="en-US"/>
              </w:rPr>
            </w:pPr>
            <w:r>
              <w:rPr>
                <w:rFonts w:cs="Arial" w:ascii="Arial" w:hAnsi="Arial"/>
                <w:b/>
                <w:bCs/>
                <w:color w:val="363636"/>
                <w:sz w:val="24"/>
                <w:szCs w:val="24"/>
                <w:lang w:val="en-US" w:eastAsia="en-US"/>
              </w:rPr>
            </w:r>
          </w:p>
        </w:tc>
        <w:tc>
          <w:tcPr>
            <w:tcW w:w="1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rPr>
                <w:rFonts w:ascii="Arial" w:hAnsi="Arial" w:cs="Arial"/>
                <w:color w:val="363636"/>
                <w:sz w:val="24"/>
                <w:szCs w:val="24"/>
                <w:lang w:val="en-US" w:eastAsia="en-US"/>
              </w:rPr>
            </w:pPr>
            <w:r>
              <w:rPr>
                <w:rFonts w:cs="Arial" w:ascii="Arial" w:hAnsi="Arial"/>
                <w:color w:val="363636"/>
                <w:sz w:val="24"/>
                <w:szCs w:val="24"/>
                <w:lang w:val="en-US" w:eastAsia="en-US"/>
              </w:rPr>
            </w:r>
          </w:p>
        </w:tc>
        <w:tc>
          <w:tcPr>
            <w:tcW w:w="2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1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.1.2.Процјена новостечене имовине</w:t>
            </w: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Комисија за процјену вриједности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31.12.202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6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</w:tr>
      <w:tr>
        <w:trPr>
          <w:trHeight w:val="2400" w:hRule="atLeast"/>
        </w:trPr>
        <w:tc>
          <w:tcPr>
            <w:tcW w:w="1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rPr>
                <w:rFonts w:ascii="Arial" w:hAnsi="Arial" w:cs="Arial"/>
                <w:b/>
                <w:bCs/>
                <w:color w:val="363636"/>
                <w:sz w:val="24"/>
                <w:szCs w:val="24"/>
                <w:lang w:val="en-US" w:eastAsia="en-US"/>
              </w:rPr>
            </w:pPr>
            <w:r>
              <w:rPr>
                <w:rFonts w:cs="Arial" w:ascii="Arial" w:hAnsi="Arial"/>
                <w:b/>
                <w:bCs/>
                <w:color w:val="363636"/>
                <w:sz w:val="24"/>
                <w:szCs w:val="24"/>
                <w:lang w:val="en-US" w:eastAsia="en-US"/>
              </w:rPr>
            </w:r>
          </w:p>
        </w:tc>
        <w:tc>
          <w:tcPr>
            <w:tcW w:w="1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color w:val="363636"/>
                <w:sz w:val="24"/>
                <w:szCs w:val="24"/>
                <w:lang w:val="sr-BA" w:eastAsia="en-US"/>
              </w:rPr>
              <w:t>1</w:t>
            </w:r>
            <w:r>
              <w:rPr>
                <w:rFonts w:cs="Arial" w:ascii="Arial" w:hAnsi="Arial"/>
                <w:color w:val="363636"/>
                <w:sz w:val="24"/>
                <w:szCs w:val="24"/>
                <w:lang w:val="en-US" w:eastAsia="en-US"/>
              </w:rPr>
              <w:t xml:space="preserve">.2.Анализа </w:t>
            </w:r>
            <w:r>
              <w:rPr>
                <w:rFonts w:cs="Arial" w:ascii="Arial" w:hAnsi="Arial"/>
                <w:color w:val="363636"/>
                <w:sz w:val="24"/>
                <w:szCs w:val="24"/>
                <w:lang w:val="sr-BA" w:eastAsia="en-US"/>
              </w:rPr>
              <w:t>могућности</w:t>
            </w:r>
            <w:r>
              <w:rPr>
                <w:rFonts w:cs="Arial" w:ascii="Arial" w:hAnsi="Arial"/>
                <w:color w:val="363636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Arial" w:ascii="Arial" w:hAnsi="Arial"/>
                <w:color w:val="363636"/>
                <w:sz w:val="24"/>
                <w:szCs w:val="24"/>
                <w:lang w:val="sr-BA" w:eastAsia="en-US"/>
              </w:rPr>
              <w:t>повећања</w:t>
            </w:r>
            <w:r>
              <w:rPr>
                <w:rFonts w:cs="Arial" w:ascii="Arial" w:hAnsi="Arial"/>
                <w:color w:val="363636"/>
                <w:sz w:val="24"/>
                <w:szCs w:val="24"/>
                <w:lang w:val="en-US" w:eastAsia="en-US"/>
              </w:rPr>
              <w:t xml:space="preserve"> прихода од продаје и закупа</w:t>
            </w:r>
          </w:p>
        </w:tc>
        <w:tc>
          <w:tcPr>
            <w:tcW w:w="2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1.1.3.З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акључивање уговора о закупу пословни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х простора ради стављања у функцију</w:t>
            </w: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rFonts w:ascii="Arial" w:hAnsi="Arial"/>
                <w:sz w:val="24"/>
                <w:szCs w:val="24"/>
                <w:lang w:val="sr-BA"/>
              </w:rPr>
            </w:pPr>
            <w:r>
              <w:rPr>
                <w:rFonts w:ascii="Arial" w:hAnsi="Arial"/>
                <w:sz w:val="24"/>
                <w:szCs w:val="24"/>
                <w:lang w:val="sr-BA"/>
              </w:rPr>
              <w:t>Одјељење за комуналне и стамбене послове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31.12.202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6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</w:tr>
      <w:tr>
        <w:trPr>
          <w:trHeight w:val="2374" w:hRule="atLeast"/>
        </w:trPr>
        <w:tc>
          <w:tcPr>
            <w:tcW w:w="1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rPr>
                <w:rFonts w:ascii="Arial" w:hAnsi="Arial" w:cs="Arial"/>
                <w:b/>
                <w:bCs/>
                <w:color w:val="363636"/>
                <w:sz w:val="24"/>
                <w:szCs w:val="24"/>
                <w:lang w:val="en-US" w:eastAsia="en-US"/>
              </w:rPr>
            </w:pPr>
            <w:r>
              <w:rPr>
                <w:rFonts w:cs="Arial" w:ascii="Arial" w:hAnsi="Arial"/>
                <w:b/>
                <w:bCs/>
                <w:color w:val="363636"/>
                <w:sz w:val="24"/>
                <w:szCs w:val="24"/>
                <w:lang w:val="en-US" w:eastAsia="en-US"/>
              </w:rPr>
            </w:r>
          </w:p>
        </w:tc>
        <w:tc>
          <w:tcPr>
            <w:tcW w:w="1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1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.3.Праћење јавних позива ЕУ фондова за обнову</w:t>
            </w:r>
          </w:p>
        </w:tc>
        <w:tc>
          <w:tcPr>
            <w:tcW w:w="2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1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.3.4.Пријављивање на јавне позиве ЕУ фондова са циљем да се добију средства за обнову иимовине Града</w:t>
            </w: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Одјељење за развој и међународне пројекте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31.12.202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6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</w:tr>
      <w:tr>
        <w:trPr>
          <w:trHeight w:val="2400" w:hRule="atLeast"/>
        </w:trPr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4"/>
                <w:szCs w:val="24"/>
                <w:lang w:val="sr-BA" w:eastAsia="en-US"/>
              </w:rPr>
              <w:t>2</w:t>
            </w:r>
            <w:r>
              <w:rPr>
                <w:rFonts w:cs="Arial" w:ascii="Arial" w:hAnsi="Arial"/>
                <w:b w:val="false"/>
                <w:bCs w:val="false"/>
                <w:color w:val="000000"/>
                <w:sz w:val="24"/>
                <w:szCs w:val="24"/>
                <w:lang w:val="en-US" w:eastAsia="en-US"/>
              </w:rPr>
              <w:t>.Праћење прихода од имовине</w:t>
            </w:r>
          </w:p>
        </w:tc>
        <w:tc>
          <w:tcPr>
            <w:tcW w:w="1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.1.Оптимизација управљања приходима од имовине</w:t>
            </w:r>
          </w:p>
        </w:tc>
        <w:tc>
          <w:tcPr>
            <w:tcW w:w="2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.1.1.повећање прихода кроз ревизију закупљених пословних простора и побољшање наплате</w:t>
            </w:r>
          </w:p>
        </w:tc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Одјељење за финансије у сарадњи са одјељењем за комуналне и стамбене послове</w:t>
            </w:r>
          </w:p>
        </w:tc>
        <w:tc>
          <w:tcPr>
            <w:tcW w:w="1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31.12.2025.</w:t>
            </w:r>
          </w:p>
        </w:tc>
      </w:tr>
      <w:tr>
        <w:trPr>
          <w:trHeight w:val="2100" w:hRule="atLeast"/>
        </w:trPr>
        <w:tc>
          <w:tcPr>
            <w:tcW w:w="1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en-US" w:eastAsia="en-US"/>
              </w:rPr>
            </w:r>
          </w:p>
        </w:tc>
        <w:tc>
          <w:tcPr>
            <w:tcW w:w="1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.2.Правно уређење власничких односа</w:t>
            </w:r>
          </w:p>
        </w:tc>
        <w:tc>
          <w:tcPr>
            <w:tcW w:w="2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.2.1.наставак уређења власничке документације ради лакше комерцијализације имовине</w:t>
            </w: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Служба Градоначелника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31.12.202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6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</w:tr>
      <w:tr>
        <w:trPr>
          <w:trHeight w:val="2100" w:hRule="atLeast"/>
        </w:trPr>
        <w:tc>
          <w:tcPr>
            <w:tcW w:w="1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en-US" w:eastAsia="en-US"/>
              </w:rPr>
            </w:r>
          </w:p>
        </w:tc>
        <w:tc>
          <w:tcPr>
            <w:tcW w:w="1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.3.Смањење трошкова управљања и одржавања имовине</w:t>
            </w:r>
          </w:p>
        </w:tc>
        <w:tc>
          <w:tcPr>
            <w:tcW w:w="2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.3.1.Рационализација расхода путем енергетске ефикасности и оптимизација потрошње</w:t>
            </w:r>
          </w:p>
        </w:tc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Одјељење за финансије у сарадњи са Одјељењем за развој и међународне пројекте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31.12.202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sr-BA" w:eastAsia="en-US"/>
              </w:rPr>
              <w:t>6</w:t>
            </w:r>
            <w:r>
              <w:rPr>
                <w:rFonts w:cs="Arial" w:ascii="Arial" w:hAnsi="Arial"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</w:tr>
    </w:tbl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Пословни простори у власништву Града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Градишка  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дају се у закуп у складу са 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Одлуком о пословним зградама, пословним просторијама, друштвеним домовима, гаражама и другим непокретностима у својини Града Градишка и Одлуком о висини закупнине за пословне зграде, пословне просторе, друштвене домове, гараже и друге непокретности  у својини Града Градишка.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Град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Градишка </w:t>
      </w:r>
      <w:r>
        <w:rPr>
          <w:rFonts w:eastAsia="Calibri" w:cs="Arial" w:ascii="Arial" w:hAnsi="Arial"/>
          <w:sz w:val="24"/>
          <w:szCs w:val="24"/>
          <w:lang w:eastAsia="en-US"/>
        </w:rPr>
        <w:t>води евиденцију пословних простора у свом власништву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по основу </w:t>
      </w:r>
      <w:r>
        <w:rPr>
          <w:rFonts w:eastAsia="Calibri" w:cs="Arial" w:ascii="Arial" w:hAnsi="Arial"/>
          <w:sz w:val="24"/>
          <w:szCs w:val="24"/>
          <w:lang w:eastAsia="en-US"/>
        </w:rPr>
        <w:t>неколико критерија.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Најважнији критерији у смислу располагања имовином су стање пословн</w:t>
      </w:r>
      <w:r>
        <w:rPr>
          <w:rFonts w:eastAsia="Calibri" w:cs="Arial" w:ascii="Arial" w:hAnsi="Arial"/>
          <w:sz w:val="24"/>
          <w:szCs w:val="24"/>
          <w:lang w:val="sr-BA" w:eastAsia="en-US"/>
        </w:rPr>
        <w:t>их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простора, рок трајања уговореног закупа 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предметног </w:t>
      </w:r>
      <w:r>
        <w:rPr>
          <w:rFonts w:eastAsia="Calibri" w:cs="Arial" w:ascii="Arial" w:hAnsi="Arial"/>
          <w:sz w:val="24"/>
          <w:szCs w:val="24"/>
          <w:lang w:eastAsia="en-US"/>
        </w:rPr>
        <w:t>простора. У том контексту важно је истакнути како ће Град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Градишка  </w:t>
      </w:r>
      <w:r>
        <w:rPr>
          <w:rFonts w:eastAsia="Calibri" w:cs="Arial" w:ascii="Arial" w:hAnsi="Arial"/>
          <w:sz w:val="24"/>
          <w:szCs w:val="24"/>
          <w:lang w:eastAsia="en-US"/>
        </w:rPr>
        <w:t>до краја 202</w:t>
      </w:r>
      <w:r>
        <w:rPr>
          <w:rFonts w:eastAsia="Calibri" w:cs="Arial" w:ascii="Arial" w:hAnsi="Arial"/>
          <w:sz w:val="24"/>
          <w:szCs w:val="24"/>
          <w:lang w:val="sr-BA" w:eastAsia="en-US"/>
        </w:rPr>
        <w:t>6</w:t>
      </w:r>
      <w:r>
        <w:rPr>
          <w:rFonts w:eastAsia="Calibri" w:cs="Arial" w:ascii="Arial" w:hAnsi="Arial"/>
          <w:sz w:val="24"/>
          <w:szCs w:val="24"/>
          <w:lang w:eastAsia="en-US"/>
        </w:rPr>
        <w:t>.  улагати средства за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одржавање </w:t>
      </w:r>
      <w:r>
        <w:rPr>
          <w:rFonts w:eastAsia="Calibri" w:cs="Arial" w:ascii="Arial" w:hAnsi="Arial"/>
          <w:sz w:val="24"/>
          <w:szCs w:val="24"/>
          <w:lang w:eastAsia="en-US"/>
        </w:rPr>
        <w:t>пословних простори</w:t>
      </w:r>
      <w:r>
        <w:rPr>
          <w:rFonts w:eastAsia="Calibri" w:cs="Arial" w:ascii="Arial" w:hAnsi="Arial"/>
          <w:sz w:val="24"/>
          <w:szCs w:val="24"/>
          <w:lang w:val="sr-Latn-BA" w:eastAsia="en-US"/>
        </w:rPr>
        <w:t>ja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који 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тренутно 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нису погодни за давање у закуп, а све 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с 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циљем </w:t>
      </w:r>
      <w:r>
        <w:rPr>
          <w:rFonts w:eastAsia="Calibri" w:cs="Arial" w:ascii="Arial" w:hAnsi="Arial"/>
          <w:sz w:val="24"/>
          <w:szCs w:val="24"/>
          <w:lang w:val="sr-BA" w:eastAsia="en-US"/>
        </w:rPr>
        <w:t>стицања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прихода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Града.</w:t>
      </w:r>
      <w:r>
        <w:rPr>
          <w:rFonts w:eastAsia="Calibri" w:cs="Arial" w:ascii="Arial" w:hAnsi="Arial"/>
          <w:sz w:val="24"/>
          <w:szCs w:val="24"/>
          <w:lang w:val="sr-Latn-BA" w:eastAsia="en-US"/>
        </w:rPr>
        <w:t xml:space="preserve">  Ве</w:t>
      </w:r>
      <w:r>
        <w:rPr>
          <w:rFonts w:eastAsia="Calibri" w:cs="Arial" w:ascii="Arial" w:hAnsi="Arial"/>
          <w:sz w:val="24"/>
          <w:szCs w:val="24"/>
          <w:lang w:val="sr-BA" w:eastAsia="en-US"/>
        </w:rPr>
        <w:t>зан</w:t>
      </w:r>
      <w:r>
        <w:rPr>
          <w:rFonts w:eastAsia="Calibri" w:cs="Arial" w:ascii="Arial" w:hAnsi="Arial"/>
          <w:sz w:val="24"/>
          <w:szCs w:val="24"/>
          <w:lang w:val="sr-Latn-BA" w:eastAsia="en-US"/>
        </w:rPr>
        <w:t>о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за наведено неопходно је претходно да се уради: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- Процјена исплативости улагања и привођења намјени неперспективне имовине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 xml:space="preserve">- </w:t>
      </w:r>
      <w:r>
        <w:rPr>
          <w:rFonts w:eastAsia="Calibri" w:cs="Arial" w:ascii="Arial" w:hAnsi="Arial"/>
          <w:sz w:val="24"/>
          <w:szCs w:val="24"/>
          <w:lang w:val="sr-BA" w:eastAsia="en-US"/>
        </w:rPr>
        <w:t>Анализа могућности п</w:t>
      </w:r>
      <w:r>
        <w:rPr>
          <w:rFonts w:eastAsia="Calibri" w:cs="Arial" w:ascii="Arial" w:hAnsi="Arial"/>
          <w:sz w:val="24"/>
          <w:szCs w:val="24"/>
          <w:lang w:eastAsia="en-US"/>
        </w:rPr>
        <w:t>овећа</w:t>
      </w:r>
      <w:r>
        <w:rPr>
          <w:rFonts w:eastAsia="Calibri" w:cs="Arial" w:ascii="Arial" w:hAnsi="Arial"/>
          <w:sz w:val="24"/>
          <w:szCs w:val="24"/>
          <w:lang w:val="sr-BA" w:eastAsia="en-US"/>
        </w:rPr>
        <w:t>ња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</w:t>
      </w:r>
      <w:r>
        <w:rPr>
          <w:rFonts w:eastAsia="Calibri" w:cs="Arial" w:ascii="Arial" w:hAnsi="Arial"/>
          <w:sz w:val="24"/>
          <w:szCs w:val="24"/>
          <w:lang w:val="sr-BA" w:eastAsia="en-US"/>
        </w:rPr>
        <w:t>финансијског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учинк</w:t>
      </w:r>
      <w:r>
        <w:rPr>
          <w:rFonts w:eastAsia="Calibri" w:cs="Arial" w:ascii="Arial" w:hAnsi="Arial"/>
          <w:sz w:val="24"/>
          <w:szCs w:val="24"/>
          <w:lang w:val="sr-BA" w:eastAsia="en-US"/>
        </w:rPr>
        <w:t>а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од имовине уз повећање вриједности јединица имовине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- Успостав</w:t>
      </w:r>
      <w:r>
        <w:rPr>
          <w:rFonts w:eastAsia="Calibri" w:cs="Arial" w:ascii="Arial" w:hAnsi="Arial"/>
          <w:sz w:val="24"/>
          <w:szCs w:val="24"/>
          <w:lang w:val="sr-BA" w:eastAsia="en-US"/>
        </w:rPr>
        <w:t>а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попис</w:t>
      </w:r>
      <w:r>
        <w:rPr>
          <w:rFonts w:eastAsia="Calibri" w:cs="Arial" w:ascii="Arial" w:hAnsi="Arial"/>
          <w:sz w:val="24"/>
          <w:szCs w:val="24"/>
          <w:lang w:val="sr-BA" w:eastAsia="en-US"/>
        </w:rPr>
        <w:t>а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имовине у власништву Града коју користе</w:t>
      </w:r>
      <w:r>
        <w:rPr>
          <w:rFonts w:eastAsia="Calibri" w:cs="Arial" w:ascii="Arial" w:hAnsi="Arial"/>
          <w:i w:val="false"/>
          <w:iCs w:val="false"/>
          <w:sz w:val="24"/>
          <w:szCs w:val="24"/>
          <w:lang w:val="sr-BA" w:eastAsia="en-US"/>
        </w:rPr>
        <w:t xml:space="preserve"> </w:t>
      </w:r>
      <w:r>
        <w:rPr>
          <w:rFonts w:eastAsia="Calibri" w:cs="Arial" w:ascii="Arial" w:hAnsi="Arial"/>
          <w:i w:val="false"/>
          <w:iCs w:val="false"/>
          <w:sz w:val="24"/>
          <w:szCs w:val="24"/>
          <w:u w:val="none"/>
          <w:lang w:val="sr-BA" w:eastAsia="en-US"/>
        </w:rPr>
        <w:t>бесправни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корисници </w:t>
      </w:r>
      <w:r>
        <w:rPr>
          <w:rFonts w:eastAsia="Calibri" w:cs="Arial" w:ascii="Arial" w:hAnsi="Arial"/>
          <w:sz w:val="24"/>
          <w:szCs w:val="24"/>
          <w:lang w:val="sr-BA" w:eastAsia="en-US"/>
        </w:rPr>
        <w:t>и увођење ситуација у законске оквире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Arial" w:hAnsi="Arial"/>
          <w:lang w:val="sr-BA"/>
        </w:rPr>
        <w:t>Сходно наведеном у Регистру непокретности класификовани су пословни простори који се издају у закуп без накнаде, пословни простори који се издају уз накнаду и пословни простори који служе за потребе обављања послова градске управе.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jc w:val="both"/>
        <w:rPr>
          <w:sz w:val="24"/>
          <w:szCs w:val="24"/>
        </w:rPr>
      </w:pPr>
      <w:r>
        <w:rPr>
          <w:rFonts w:cs="Arial" w:ascii="Arial" w:hAnsi="Arial"/>
          <w:b/>
          <w:bCs/>
          <w:color w:val="auto"/>
          <w:sz w:val="24"/>
          <w:szCs w:val="24"/>
          <w:lang w:val="sr-BA" w:eastAsia="en-US"/>
        </w:rPr>
        <w:t>5</w:t>
      </w:r>
      <w:r>
        <w:rPr>
          <w:rFonts w:cs="Arial" w:ascii="Arial" w:hAnsi="Arial"/>
          <w:b/>
          <w:bCs/>
          <w:color w:val="auto"/>
          <w:sz w:val="24"/>
          <w:szCs w:val="24"/>
          <w:lang w:eastAsia="en-US"/>
        </w:rPr>
        <w:t>.</w:t>
      </w:r>
      <w:bookmarkStart w:id="4" w:name="_Toc143073051_Copy_1"/>
      <w:r>
        <w:rPr>
          <w:rFonts w:cs="Arial" w:ascii="Arial" w:hAnsi="Arial"/>
          <w:b/>
          <w:bCs/>
          <w:color w:val="auto"/>
          <w:sz w:val="24"/>
          <w:szCs w:val="24"/>
          <w:lang w:eastAsia="en-US"/>
        </w:rPr>
        <w:t xml:space="preserve"> Потребни ресурси за реализацију Годишњег плана за 202</w:t>
      </w:r>
      <w:r>
        <w:rPr>
          <w:rFonts w:cs="Arial" w:ascii="Arial" w:hAnsi="Arial"/>
          <w:b/>
          <w:bCs/>
          <w:color w:val="auto"/>
          <w:sz w:val="24"/>
          <w:szCs w:val="24"/>
          <w:lang w:val="sr-BA" w:eastAsia="en-US"/>
        </w:rPr>
        <w:t>6</w:t>
      </w:r>
      <w:r>
        <w:rPr>
          <w:rFonts w:cs="Arial" w:ascii="Arial" w:hAnsi="Arial"/>
          <w:b/>
          <w:bCs/>
          <w:color w:val="auto"/>
          <w:sz w:val="24"/>
          <w:szCs w:val="24"/>
          <w:lang w:eastAsia="en-US"/>
        </w:rPr>
        <w:t>. годину</w:t>
      </w:r>
      <w:bookmarkEnd w:id="4"/>
    </w:p>
    <w:p>
      <w:pPr>
        <w:pStyle w:val="Normal"/>
        <w:jc w:val="both"/>
        <w:rPr>
          <w:rFonts w:ascii="Arial" w:hAnsi="Arial" w:eastAsia="Calibri" w:cs="Arial"/>
          <w:color w:val="7030A0"/>
          <w:sz w:val="24"/>
          <w:szCs w:val="24"/>
          <w:lang w:eastAsia="en-US"/>
        </w:rPr>
      </w:pPr>
      <w:r>
        <w:rPr>
          <w:rFonts w:eastAsia="Calibri" w:cs="Arial" w:ascii="Arial" w:hAnsi="Arial"/>
          <w:color w:val="7030A0"/>
          <w:sz w:val="24"/>
          <w:szCs w:val="24"/>
          <w:lang w:eastAsia="en-US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cs="Arial" w:ascii="Arial" w:hAnsi="Arial"/>
          <w:lang w:eastAsia="en-US"/>
        </w:rPr>
        <w:t>За реализацију Годишњег плана управљања и располагања  имовином у власништву Града Градишка за 202</w:t>
      </w:r>
      <w:r>
        <w:rPr>
          <w:rFonts w:eastAsia="Calibri" w:cs="Arial" w:ascii="Arial" w:hAnsi="Arial"/>
          <w:lang w:val="sr-BA" w:eastAsia="en-US"/>
        </w:rPr>
        <w:t>6</w:t>
      </w:r>
      <w:r>
        <w:rPr>
          <w:rFonts w:eastAsia="Calibri" w:cs="Arial" w:ascii="Arial" w:hAnsi="Arial"/>
          <w:lang w:eastAsia="en-US"/>
        </w:rPr>
        <w:t>. годину потребно је осигурати додатна средства у Буџету Града Градишка за 202</w:t>
      </w:r>
      <w:r>
        <w:rPr>
          <w:rFonts w:eastAsia="Calibri" w:cs="Arial" w:ascii="Arial" w:hAnsi="Arial"/>
          <w:lang w:val="sr-BA" w:eastAsia="en-US"/>
        </w:rPr>
        <w:t>6</w:t>
      </w:r>
      <w:r>
        <w:rPr>
          <w:rFonts w:eastAsia="Calibri" w:cs="Arial" w:ascii="Arial" w:hAnsi="Arial"/>
          <w:lang w:eastAsia="en-US"/>
        </w:rPr>
        <w:t>. годину, и неопходан је додатан ангажман службеника.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Calibri" w:cs="Arial" w:ascii="Arial" w:hAnsi="Arial"/>
          <w:sz w:val="24"/>
          <w:szCs w:val="24"/>
          <w:lang w:eastAsia="en-US"/>
        </w:rPr>
        <w:t xml:space="preserve">Годишњи план управљања имовином у власништву Града 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Градишка </w:t>
      </w:r>
      <w:r>
        <w:rPr>
          <w:rFonts w:eastAsia="Calibri" w:cs="Arial" w:ascii="Arial" w:hAnsi="Arial"/>
          <w:sz w:val="24"/>
          <w:szCs w:val="24"/>
          <w:lang w:eastAsia="en-US"/>
        </w:rPr>
        <w:t>за 202</w:t>
      </w:r>
      <w:r>
        <w:rPr>
          <w:rFonts w:eastAsia="Calibri" w:cs="Arial" w:ascii="Arial" w:hAnsi="Arial"/>
          <w:sz w:val="24"/>
          <w:szCs w:val="24"/>
          <w:lang w:val="sr-Latn-BA" w:eastAsia="en-US"/>
        </w:rPr>
        <w:t>6</w:t>
      </w:r>
      <w:r>
        <w:rPr>
          <w:rFonts w:eastAsia="Calibri" w:cs="Arial" w:ascii="Arial" w:hAnsi="Arial"/>
          <w:sz w:val="24"/>
          <w:szCs w:val="24"/>
          <w:lang w:eastAsia="en-US"/>
        </w:rPr>
        <w:t>. годину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ће бити објављен  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на службеној 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и 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нтернет страници Града </w:t>
      </w:r>
      <w:r>
        <w:rPr>
          <w:rFonts w:eastAsia="Calibri" w:cs="Arial" w:ascii="Arial" w:hAnsi="Arial"/>
          <w:sz w:val="24"/>
          <w:szCs w:val="24"/>
          <w:lang w:val="sr-BA" w:eastAsia="en-US"/>
        </w:rPr>
        <w:t>Градишка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.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 xml:space="preserve">Овај годишњи план представља реалан и 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могућ </w:t>
      </w:r>
      <w:r>
        <w:rPr>
          <w:rFonts w:eastAsia="Calibri" w:cs="Arial" w:ascii="Arial" w:hAnsi="Arial"/>
          <w:sz w:val="24"/>
          <w:szCs w:val="24"/>
          <w:lang w:eastAsia="en-US"/>
        </w:rPr>
        <w:t>оквир управљања некретнинама за период од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 једне године 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узевши у обзир чињеницу да је Стратегија управљања имовином донесена у </w:t>
      </w:r>
      <w:r>
        <w:rPr>
          <w:rFonts w:eastAsia="Calibri" w:cs="Arial" w:ascii="Arial" w:hAnsi="Arial"/>
          <w:sz w:val="24"/>
          <w:szCs w:val="24"/>
          <w:lang w:val="sr-BA" w:eastAsia="en-US"/>
        </w:rPr>
        <w:t xml:space="preserve">фебруару 2024. године и 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представља темељ за израду овог Годишњег плана.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  <w:bookmarkStart w:id="5" w:name="_Hlk221456745_Copy_1"/>
      <w:bookmarkStart w:id="6" w:name="_Hlk221456745_Copy_1"/>
      <w:bookmarkEnd w:id="6"/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</w:t>
      </w:r>
      <w:r>
        <w:rPr>
          <w:rFonts w:cs="Arial" w:ascii="Arial" w:hAnsi="Arial"/>
          <w:sz w:val="22"/>
          <w:szCs w:val="22"/>
        </w:rPr>
        <w:t>ОБРАЂИВАЧ:                                                                                         ПРЕДЛАГАЧ: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Служба градоначелника                                                                             Градоначелник 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>НАЧЕЛНИК СЛУЖБЕ                                                                                    Зоран Аџић</w:t>
      </w:r>
    </w:p>
    <w:p>
      <w:pPr>
        <w:sectPr>
          <w:headerReference w:type="even" r:id="rId11"/>
          <w:headerReference w:type="default" r:id="rId12"/>
          <w:headerReference w:type="first" r:id="rId13"/>
          <w:footerReference w:type="even" r:id="rId14"/>
          <w:footerReference w:type="default" r:id="rId15"/>
          <w:footerReference w:type="first" r:id="rId16"/>
          <w:type w:val="nextPage"/>
          <w:pgSz w:w="11906" w:h="16838"/>
          <w:pgMar w:left="1417" w:right="1417" w:gutter="0" w:header="708" w:top="1417" w:footer="708" w:bottom="1417"/>
          <w:pgNumType w:start="2"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   </w:t>
      </w:r>
      <w:r>
        <w:rPr>
          <w:rFonts w:cs="Arial" w:ascii="Arial" w:hAnsi="Arial"/>
          <w:bCs/>
          <w:sz w:val="22"/>
          <w:szCs w:val="22"/>
        </w:rPr>
        <w:t>Драгутин Ковачевић</w:t>
      </w:r>
      <w:bookmarkStart w:id="7" w:name="_Hlk221456745_Copy_1_Copy_1"/>
    </w:p>
    <w:p>
      <w:pPr>
        <w:pStyle w:val="Normal"/>
        <w:numPr>
          <w:ilvl w:val="0"/>
          <w:numId w:val="1"/>
        </w:numPr>
        <w:spacing w:lineRule="auto" w:line="276"/>
        <w:jc w:val="both"/>
        <w:outlineLvl w:val="0"/>
        <w:rPr>
          <w:rFonts w:ascii="Arial" w:hAnsi="Arial" w:cs="Arial"/>
          <w:b/>
          <w:bCs/>
          <w:kern w:val="2"/>
          <w:sz w:val="24"/>
          <w:szCs w:val="24"/>
        </w:rPr>
      </w:pPr>
      <w:r>
        <w:rPr>
          <w:rFonts w:cs="Arial" w:ascii="Arial" w:hAnsi="Arial"/>
          <w:b/>
          <w:bCs/>
          <w:kern w:val="2"/>
          <w:sz w:val="24"/>
          <w:szCs w:val="24"/>
        </w:rPr>
      </w:r>
      <w:bookmarkStart w:id="10" w:name="_Hlk221456745_Copy_1_Copy_1_Copy_1"/>
      <w:bookmarkStart w:id="11" w:name="_Hlk221456745_Copy_1_Copy_1_Copy_1"/>
      <w:bookmarkEnd w:id="7"/>
      <w:bookmarkEnd w:id="11"/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  <w:r>
        <w:br w:type="page"/>
      </w:r>
    </w:p>
    <w:p>
      <w:pPr>
        <w:pStyle w:val="Normal"/>
        <w:numPr>
          <w:ilvl w:val="0"/>
          <w:numId w:val="0"/>
        </w:numPr>
        <w:spacing w:lineRule="auto" w:line="276" w:before="0" w:after="0"/>
        <w:ind w:hanging="0" w:left="0"/>
        <w:jc w:val="both"/>
        <w:outlineLvl w:val="0"/>
        <w:rPr>
          <w:rFonts w:ascii="Arial" w:hAnsi="Arial" w:cs="Arial"/>
          <w:b/>
          <w:bCs/>
          <w:kern w:val="2"/>
          <w:sz w:val="24"/>
          <w:szCs w:val="24"/>
        </w:rPr>
      </w:pPr>
      <w:r>
        <w:rPr>
          <w:rFonts w:cs="Arial" w:ascii="Arial" w:hAnsi="Arial"/>
          <w:b/>
          <w:bCs/>
          <w:kern w:val="2"/>
          <w:sz w:val="24"/>
          <w:szCs w:val="24"/>
        </w:rPr>
      </w:r>
    </w:p>
    <w:sectPr>
      <w:headerReference w:type="even" r:id="rId17"/>
      <w:headerReference w:type="default" r:id="rId18"/>
      <w:headerReference w:type="first" r:id="rId19"/>
      <w:footerReference w:type="even" r:id="rId20"/>
      <w:footerReference w:type="default" r:id="rId21"/>
      <w:footerReference w:type="first" r:id="rId22"/>
      <w:type w:val="nextPage"/>
      <w:pgSz w:orient="landscape" w:w="16838" w:h="11906"/>
      <w:pgMar w:left="1134" w:right="1134" w:gutter="0" w:header="0" w:top="1418" w:footer="709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423845732"/>
    </w:sdtPr>
    <w:sdtContent>
      <w:p>
        <w:pPr>
          <w:pStyle w:val="Footer"/>
          <w:jc w:val="right"/>
          <w:rPr/>
        </w:pPr>
        <w:bookmarkStart w:id="8" w:name="PageNumWizard_FOOTER_Converted14"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  <w:bookmarkEnd w:id="8"/>
      </w:p>
      <w:p>
        <w:pPr>
          <w:pStyle w:val="Footer"/>
          <w:jc w:val="right"/>
          <w:rPr/>
        </w:pPr>
        <w:r>
          <w:rPr/>
        </w:r>
      </w:p>
      <w:p>
        <w:pPr>
          <w:pStyle w:val="Footer"/>
          <w:jc w:val="right"/>
          <w:rPr/>
        </w:pPr>
        <w:r>
          <w:rPr/>
        </w:r>
      </w:p>
      <w:p>
        <w:pPr>
          <w:pStyle w:val="Footer"/>
          <w:jc w:val="right"/>
          <w:rPr/>
        </w:pPr>
        <w:r>
          <w:rPr/>
        </w:r>
      </w:p>
    </w:sdtContent>
  </w:sdt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423845732"/>
    </w:sdtPr>
    <w:sdtContent>
      <w:p>
        <w:pPr>
          <w:pStyle w:val="Footer"/>
          <w:jc w:val="right"/>
          <w:rPr/>
        </w:pPr>
        <w:bookmarkStart w:id="9" w:name="PageNumWizard_FOOTER_Converted14"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  <w:bookmarkEnd w:id="9"/>
      </w:p>
      <w:p>
        <w:pPr>
          <w:pStyle w:val="Footer"/>
          <w:jc w:val="right"/>
          <w:rPr/>
        </w:pPr>
        <w:r>
          <w:rPr/>
        </w:r>
      </w:p>
      <w:p>
        <w:pPr>
          <w:pStyle w:val="Footer"/>
          <w:jc w:val="right"/>
          <w:rPr/>
        </w:pPr>
        <w:r>
          <w:rPr/>
        </w:r>
      </w:p>
      <w:p>
        <w:pPr>
          <w:pStyle w:val="Footer"/>
          <w:jc w:val="right"/>
          <w:rPr/>
        </w:pPr>
        <w:r>
          <w:rPr/>
        </w:r>
      </w:p>
    </w:sdtContent>
  </w:sdt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0475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73499214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</w:sdtContent>
  </w:sdt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04760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Arial" w:hAnsi="Arial" w:cs="Arial"/>
      </w:rPr>
    </w:pPr>
    <w:r>
      <w:rPr>
        <w:rFonts w:cs="Arial" w:ascii="Arial" w:hAnsi="Arial"/>
      </w:rPr>
      <w:t>Годишњи план управљања имовином у власништву Града Градишка</w:t>
    </w:r>
  </w:p>
  <w:p>
    <w:pPr>
      <w:pStyle w:val="Header"/>
      <w:jc w:val="center"/>
      <w:rPr>
        <w:rFonts w:ascii="Arial" w:hAnsi="Arial" w:cs="Arial"/>
      </w:rPr>
    </w:pPr>
    <w:r>
      <w:rPr>
        <w:rFonts w:cs="Arial" w:ascii="Arial" w:hAnsi="Arial"/>
      </w:rPr>
      <w:t>за 202</w:t>
    </w:r>
    <w:r>
      <w:rPr>
        <w:rFonts w:cs="Arial" w:ascii="Arial" w:hAnsi="Arial"/>
        <w:lang w:val="sr-BA"/>
      </w:rPr>
      <w:t>6</w:t>
    </w:r>
    <w:r>
      <w:rPr>
        <w:rFonts w:cs="Arial" w:ascii="Arial" w:hAnsi="Arial"/>
      </w:rPr>
      <w:t xml:space="preserve">. годину </w:t>
    </w:r>
  </w:p>
  <w:p>
    <w:pPr>
      <w:pStyle w:val="Header"/>
      <w:jc w:val="center"/>
      <w:rPr>
        <w:rFonts w:ascii="Arial" w:hAnsi="Arial" w:cs="Arial"/>
      </w:rPr>
    </w:pPr>
    <w:r>
      <w:rPr>
        <w:rFonts w:cs="Arial" w:ascii="Arial" w:hAnsi="Arial"/>
      </w:rPr>
    </w:r>
  </w:p>
  <w:p>
    <w:pPr>
      <w:pStyle w:val="Header"/>
      <w:jc w:val="center"/>
      <w:rPr>
        <w:rFonts w:ascii="Arial" w:hAnsi="Arial" w:cs="Arial"/>
      </w:rPr>
    </w:pPr>
    <w:r>
      <w:rPr>
        <w:rFonts w:cs="Arial" w:ascii="Arial" w:hAnsi="Arial"/>
      </w:rPr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Arial" w:hAnsi="Arial" w:cs="Arial"/>
      </w:rPr>
    </w:pPr>
    <w:r>
      <w:rPr>
        <w:rFonts w:cs="Arial" w:ascii="Arial" w:hAnsi="Arial"/>
      </w:rPr>
      <w:t>Годишњи план управљања имовином у власништву Града Градишка</w:t>
    </w:r>
  </w:p>
  <w:p>
    <w:pPr>
      <w:pStyle w:val="Header"/>
      <w:jc w:val="center"/>
      <w:rPr>
        <w:rFonts w:ascii="Arial" w:hAnsi="Arial" w:cs="Arial"/>
      </w:rPr>
    </w:pPr>
    <w:r>
      <w:rPr>
        <w:rFonts w:cs="Arial" w:ascii="Arial" w:hAnsi="Arial"/>
      </w:rPr>
      <w:t>за 202</w:t>
    </w:r>
    <w:r>
      <w:rPr>
        <w:rFonts w:cs="Arial" w:ascii="Arial" w:hAnsi="Arial"/>
        <w:lang w:val="sr-BA"/>
      </w:rPr>
      <w:t>6</w:t>
    </w:r>
    <w:r>
      <w:rPr>
        <w:rFonts w:cs="Arial" w:ascii="Arial" w:hAnsi="Arial"/>
      </w:rPr>
      <w:t xml:space="preserve">. годину </w:t>
    </w:r>
  </w:p>
  <w:p>
    <w:pPr>
      <w:pStyle w:val="Header"/>
      <w:jc w:val="center"/>
      <w:rPr>
        <w:rFonts w:ascii="Arial" w:hAnsi="Arial" w:cs="Arial"/>
      </w:rPr>
    </w:pPr>
    <w:r>
      <w:rPr>
        <w:rFonts w:cs="Arial" w:ascii="Arial" w:hAnsi="Arial"/>
      </w:rPr>
    </w:r>
  </w:p>
  <w:p>
    <w:pPr>
      <w:pStyle w:val="Header"/>
      <w:jc w:val="center"/>
      <w:rPr>
        <w:rFonts w:ascii="Arial" w:hAnsi="Arial" w:cs="Arial"/>
      </w:rPr>
    </w:pPr>
    <w:r>
      <w:rPr>
        <w:rFonts w:cs="Arial" w:ascii="Arial" w:hAnsi="Arial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6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themeColor="text1"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6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themeColor="text1"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r-H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f0c6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r-HR" w:eastAsia="hr-HR" w:bidi="ar-SA"/>
    </w:rPr>
  </w:style>
  <w:style w:type="paragraph" w:styleId="Heading1">
    <w:name w:val="Heading 1"/>
    <w:basedOn w:val="Normal"/>
    <w:next w:val="Normal"/>
    <w:link w:val="Naslov1Char"/>
    <w:uiPriority w:val="9"/>
    <w:qFormat/>
    <w:rsid w:val="00784c6d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2">
    <w:name w:val="Heading 2"/>
    <w:basedOn w:val="Normal"/>
    <w:next w:val="Normal"/>
    <w:link w:val="Naslov2Char"/>
    <w:uiPriority w:val="9"/>
    <w:unhideWhenUsed/>
    <w:qFormat/>
    <w:rsid w:val="00750a3d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paragraph" w:styleId="Heading3">
    <w:name w:val="Heading 3"/>
    <w:basedOn w:val="Normal"/>
    <w:next w:val="Normal"/>
    <w:link w:val="Naslov3Char"/>
    <w:uiPriority w:val="9"/>
    <w:unhideWhenUsed/>
    <w:qFormat/>
    <w:rsid w:val="00750a3d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</w:rPr>
  </w:style>
  <w:style w:type="paragraph" w:styleId="Heading4">
    <w:name w:val="Heading 4"/>
    <w:basedOn w:val="Normal"/>
    <w:next w:val="Normal"/>
    <w:link w:val="Naslov4Char"/>
    <w:uiPriority w:val="9"/>
    <w:unhideWhenUsed/>
    <w:qFormat/>
    <w:rsid w:val="006134be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Naslov5Char"/>
    <w:uiPriority w:val="9"/>
    <w:unhideWhenUsed/>
    <w:qFormat/>
    <w:rsid w:val="00cb2bd8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slov1Char" w:customStyle="1">
    <w:name w:val="Naslov 1 Char"/>
    <w:basedOn w:val="DefaultParagraphFont"/>
    <w:link w:val="Heading1"/>
    <w:uiPriority w:val="9"/>
    <w:qFormat/>
    <w:rsid w:val="00784c6d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  <w:lang w:eastAsia="hr-HR"/>
    </w:rPr>
  </w:style>
  <w:style w:type="character" w:styleId="Hyperlink">
    <w:name w:val="Hyperlink"/>
    <w:basedOn w:val="DefaultParagraphFont"/>
    <w:uiPriority w:val="99"/>
    <w:unhideWhenUsed/>
    <w:rsid w:val="00784c6d"/>
    <w:rPr>
      <w:color w:themeColor="hyperlink" w:val="0563C1"/>
      <w:u w:val="single"/>
    </w:rPr>
  </w:style>
  <w:style w:type="character" w:styleId="Naslov2Char" w:customStyle="1">
    <w:name w:val="Naslov 2 Char"/>
    <w:basedOn w:val="DefaultParagraphFont"/>
    <w:link w:val="Heading2"/>
    <w:uiPriority w:val="9"/>
    <w:qFormat/>
    <w:rsid w:val="00750a3d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  <w:lang w:eastAsia="hr-HR"/>
    </w:rPr>
  </w:style>
  <w:style w:type="character" w:styleId="Naslov3Char" w:customStyle="1">
    <w:name w:val="Naslov 3 Char"/>
    <w:basedOn w:val="DefaultParagraphFont"/>
    <w:link w:val="Heading3"/>
    <w:uiPriority w:val="9"/>
    <w:qFormat/>
    <w:rsid w:val="00750a3d"/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  <w:lang w:eastAsia="hr-HR"/>
    </w:rPr>
  </w:style>
  <w:style w:type="character" w:styleId="ZaglavljestraniceChar" w:customStyle="1">
    <w:name w:val="Zaglavlje stranice Char"/>
    <w:basedOn w:val="DefaultParagraphFont"/>
    <w:link w:val="Header"/>
    <w:uiPriority w:val="99"/>
    <w:qFormat/>
    <w:rsid w:val="00b22a1e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styleId="PodnojestraniceChar" w:customStyle="1">
    <w:name w:val="Podnožje stranice Char"/>
    <w:basedOn w:val="DefaultParagraphFont"/>
    <w:link w:val="Footer"/>
    <w:uiPriority w:val="99"/>
    <w:qFormat/>
    <w:rsid w:val="00b22a1e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styleId="TekstfusnoteChar" w:customStyle="1">
    <w:name w:val="Tekst fusnote Char"/>
    <w:basedOn w:val="DefaultParagraphFont"/>
    <w:link w:val="FootnoteText"/>
    <w:uiPriority w:val="99"/>
    <w:semiHidden/>
    <w:qFormat/>
    <w:rsid w:val="00150b9b"/>
    <w:rPr>
      <w:rFonts w:ascii="Times New Roman" w:hAnsi="Times New Roman" w:eastAsia="Times New Roman" w:cs="Times New Roman"/>
      <w:sz w:val="20"/>
      <w:szCs w:val="20"/>
      <w:lang w:eastAsia="hr-HR"/>
    </w:rPr>
  </w:style>
  <w:style w:type="character" w:styleId="FootnoteCharacters" w:customStyle="1">
    <w:name w:val="Footnote Characters"/>
    <w:uiPriority w:val="99"/>
    <w:unhideWhenUsed/>
    <w:qFormat/>
    <w:rsid w:val="00150b9b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slov4Char" w:customStyle="1">
    <w:name w:val="Naslov 4 Char"/>
    <w:basedOn w:val="DefaultParagraphFont"/>
    <w:link w:val="Heading4"/>
    <w:uiPriority w:val="9"/>
    <w:qFormat/>
    <w:rsid w:val="006134be"/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F5496"/>
      <w:sz w:val="24"/>
      <w:szCs w:val="24"/>
      <w:lang w:eastAsia="hr-HR"/>
    </w:rPr>
  </w:style>
  <w:style w:type="character" w:styleId="PasussalistomChar" w:customStyle="1">
    <w:name w:val="Pasus sa listom Char"/>
    <w:link w:val="ListParagraph"/>
    <w:uiPriority w:val="34"/>
    <w:qFormat/>
    <w:locked/>
    <w:rsid w:val="00e76a64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76a64"/>
    <w:rPr>
      <w:sz w:val="16"/>
      <w:szCs w:val="16"/>
    </w:rPr>
  </w:style>
  <w:style w:type="character" w:styleId="TekstkomentaraChar" w:customStyle="1">
    <w:name w:val="Tekst komentara Char"/>
    <w:basedOn w:val="DefaultParagraphFont"/>
    <w:link w:val="Annotationtext"/>
    <w:uiPriority w:val="99"/>
    <w:qFormat/>
    <w:rsid w:val="00e76a64"/>
    <w:rPr>
      <w:rFonts w:ascii="Arial" w:hAnsi="Arial"/>
      <w:sz w:val="20"/>
      <w:szCs w:val="20"/>
    </w:rPr>
  </w:style>
  <w:style w:type="character" w:styleId="TekstubaloniuChar" w:customStyle="1">
    <w:name w:val="Tekst u balončiću Char"/>
    <w:basedOn w:val="DefaultParagraphFont"/>
    <w:link w:val="BalloonText"/>
    <w:uiPriority w:val="99"/>
    <w:semiHidden/>
    <w:qFormat/>
    <w:rsid w:val="00e76a64"/>
    <w:rPr>
      <w:rFonts w:ascii="Segoe UI" w:hAnsi="Segoe UI" w:eastAsia="Times New Roman" w:cs="Segoe UI"/>
      <w:sz w:val="18"/>
      <w:szCs w:val="18"/>
      <w:lang w:eastAsia="hr-HR"/>
    </w:rPr>
  </w:style>
  <w:style w:type="character" w:styleId="TemakomentaraChar" w:customStyle="1">
    <w:name w:val="Tema komentara Char"/>
    <w:basedOn w:val="TekstkomentaraChar"/>
    <w:link w:val="Annotationsubject"/>
    <w:uiPriority w:val="99"/>
    <w:semiHidden/>
    <w:qFormat/>
    <w:rsid w:val="003e6a84"/>
    <w:rPr>
      <w:rFonts w:ascii="Times New Roman" w:hAnsi="Times New Roman" w:eastAsia="Times New Roman" w:cs="Times New Roman"/>
      <w:b/>
      <w:bCs/>
      <w:sz w:val="20"/>
      <w:szCs w:val="20"/>
      <w:lang w:eastAsia="hr-HR"/>
    </w:rPr>
  </w:style>
  <w:style w:type="character" w:styleId="Naslov5Char" w:customStyle="1">
    <w:name w:val="Naslov 5 Char"/>
    <w:basedOn w:val="DefaultParagraphFont"/>
    <w:link w:val="Heading5"/>
    <w:uiPriority w:val="9"/>
    <w:qFormat/>
    <w:rsid w:val="00cb2bd8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4"/>
      <w:szCs w:val="24"/>
      <w:lang w:eastAsia="hr-HR"/>
    </w:rPr>
  </w:style>
  <w:style w:type="character" w:styleId="BezrazmakaChar" w:customStyle="1">
    <w:name w:val="Bez razmaka Char"/>
    <w:basedOn w:val="DefaultParagraphFont"/>
    <w:link w:val="NoSpacing"/>
    <w:uiPriority w:val="1"/>
    <w:qFormat/>
    <w:rsid w:val="003943c4"/>
    <w:rPr/>
  </w:style>
  <w:style w:type="character" w:styleId="Emphasis">
    <w:name w:val="Emphasis"/>
    <w:basedOn w:val="DefaultParagraphFont"/>
    <w:uiPriority w:val="20"/>
    <w:qFormat/>
    <w:rsid w:val="00334a53"/>
    <w:rPr>
      <w:rFonts w:ascii="Arial" w:hAnsi="Arial"/>
      <w:b/>
      <w:i/>
      <w:iCs/>
      <w:color w:val="auto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85a73"/>
    <w:rPr>
      <w:color w:themeColor="followedHyperlink" w:val="954F72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c137d5"/>
    <w:rPr>
      <w:color w:val="605E5C"/>
      <w:shd w:fill="E1DFDD" w:val="clear"/>
    </w:rPr>
  </w:style>
  <w:style w:type="character" w:styleId="IndexLink" w:customStyle="1">
    <w:name w:val="Index Link"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xheading1" w:customStyle="1">
    <w:name w:val="index heading1"/>
    <w:basedOn w:val="Heading"/>
    <w:qFormat/>
    <w:pPr/>
    <w:rPr/>
  </w:style>
  <w:style w:type="paragraph" w:styleId="Indexheading2">
    <w:name w:val="index heading2"/>
    <w:basedOn w:val="Heading"/>
    <w:qFormat/>
    <w:pPr/>
    <w:rPr/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784c6d"/>
    <w:pPr>
      <w:spacing w:lineRule="auto" w:line="259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84c6d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b22a1e"/>
    <w:pPr>
      <w:spacing w:before="0" w:after="100"/>
      <w:ind w:left="240"/>
    </w:pPr>
    <w:rPr/>
  </w:style>
  <w:style w:type="paragraph" w:styleId="TOC3">
    <w:name w:val="TOC 3"/>
    <w:basedOn w:val="Normal"/>
    <w:next w:val="Normal"/>
    <w:autoRedefine/>
    <w:uiPriority w:val="39"/>
    <w:unhideWhenUsed/>
    <w:rsid w:val="00b22a1e"/>
    <w:pPr>
      <w:spacing w:before="0" w:after="100"/>
      <w:ind w:left="480"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ZaglavljestraniceChar"/>
    <w:uiPriority w:val="99"/>
    <w:unhideWhenUsed/>
    <w:rsid w:val="00b22a1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odnojestraniceChar"/>
    <w:uiPriority w:val="99"/>
    <w:unhideWhenUsed/>
    <w:rsid w:val="00b22a1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fusnoteChar"/>
    <w:uiPriority w:val="99"/>
    <w:semiHidden/>
    <w:unhideWhenUsed/>
    <w:rsid w:val="00150b9b"/>
    <w:pPr/>
    <w:rPr>
      <w:sz w:val="20"/>
      <w:szCs w:val="20"/>
    </w:rPr>
  </w:style>
  <w:style w:type="paragraph" w:styleId="ListParagraph">
    <w:name w:val="List Paragraph"/>
    <w:basedOn w:val="Normal"/>
    <w:link w:val="PasussalistomChar"/>
    <w:uiPriority w:val="34"/>
    <w:qFormat/>
    <w:rsid w:val="00514292"/>
    <w:pPr>
      <w:spacing w:before="0" w:after="0"/>
      <w:ind w:left="720"/>
      <w:contextualSpacing/>
    </w:pPr>
    <w:rPr/>
  </w:style>
  <w:style w:type="paragraph" w:styleId="NoSpacing">
    <w:name w:val="No Spacing"/>
    <w:link w:val="BezrazmakaChar"/>
    <w:uiPriority w:val="1"/>
    <w:qFormat/>
    <w:rsid w:val="0051429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r-HR" w:eastAsia="en-US" w:bidi="ar-SA"/>
    </w:rPr>
  </w:style>
  <w:style w:type="paragraph" w:styleId="Annotationtext">
    <w:name w:val="annotation text"/>
    <w:basedOn w:val="Normal"/>
    <w:link w:val="TekstkomentaraChar"/>
    <w:uiPriority w:val="99"/>
    <w:unhideWhenUsed/>
    <w:qFormat/>
    <w:rsid w:val="00e76a64"/>
    <w:pPr>
      <w:spacing w:before="0" w:after="200"/>
      <w:jc w:val="both"/>
    </w:pPr>
    <w:rPr>
      <w:rFonts w:ascii="Arial" w:hAnsi="Arial" w:eastAsia="Calibri" w:cs="" w:cstheme="minorBidi" w:eastAsiaTheme="minorHAnsi"/>
      <w:sz w:val="20"/>
      <w:szCs w:val="20"/>
      <w:lang w:eastAsia="en-US"/>
    </w:rPr>
  </w:style>
  <w:style w:type="paragraph" w:styleId="BalloonText">
    <w:name w:val="Balloon Text"/>
    <w:basedOn w:val="Normal"/>
    <w:link w:val="TekstubaloniuChar"/>
    <w:uiPriority w:val="99"/>
    <w:semiHidden/>
    <w:unhideWhenUsed/>
    <w:qFormat/>
    <w:rsid w:val="00e76a64"/>
    <w:pPr/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TemakomentaraChar"/>
    <w:uiPriority w:val="99"/>
    <w:semiHidden/>
    <w:unhideWhenUsed/>
    <w:qFormat/>
    <w:rsid w:val="003e6a84"/>
    <w:pPr>
      <w:spacing w:before="0" w:after="0"/>
      <w:jc w:val="left"/>
    </w:pPr>
    <w:rPr>
      <w:rFonts w:ascii="Times New Roman" w:hAnsi="Times New Roman" w:eastAsia="Times New Roman" w:cs="Times New Roman"/>
      <w:b/>
      <w:bCs/>
      <w:lang w:eastAsia="hr-HR"/>
    </w:rPr>
  </w:style>
  <w:style w:type="paragraph" w:styleId="NormalWeb">
    <w:name w:val="Normal (Web)"/>
    <w:basedOn w:val="Normal"/>
    <w:uiPriority w:val="99"/>
    <w:unhideWhenUsed/>
    <w:qFormat/>
    <w:rsid w:val="00581e33"/>
    <w:pPr>
      <w:spacing w:beforeAutospacing="1" w:afterAutospacing="1"/>
    </w:pPr>
    <w:rPr>
      <w:rFonts w:eastAsia="" w:eastAsiaTheme="minorEastAsia"/>
    </w:rPr>
  </w:style>
  <w:style w:type="paragraph" w:styleId="Default" w:customStyle="1">
    <w:name w:val="Default"/>
    <w:qFormat/>
    <w:rsid w:val="00aa030b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hr-HR" w:eastAsia="en-US" w:bidi="ar-SA"/>
    </w:rPr>
  </w:style>
  <w:style w:type="paragraph" w:styleId="Caption111" w:customStyle="1">
    <w:name w:val="caption111"/>
    <w:basedOn w:val="Normal"/>
    <w:next w:val="Normal"/>
    <w:uiPriority w:val="35"/>
    <w:unhideWhenUsed/>
    <w:qFormat/>
    <w:rsid w:val="00aa030b"/>
    <w:pPr>
      <w:spacing w:before="0" w:after="200"/>
      <w:jc w:val="both"/>
    </w:pPr>
    <w:rPr>
      <w:rFonts w:ascii="Arial" w:hAnsi="Arial" w:eastAsia="Calibri" w:cs="" w:cstheme="minorBidi" w:eastAsiaTheme="minorHAnsi"/>
      <w:iCs/>
      <w:sz w:val="20"/>
      <w:szCs w:val="18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f614a1"/>
    <w:pPr/>
    <w:rPr/>
  </w:style>
  <w:style w:type="paragraph" w:styleId="FrameContents" w:customStyle="1">
    <w:name w:val="Frame Contents"/>
    <w:basedOn w:val="Normal"/>
    <w:qFormat/>
    <w:pPr/>
    <w:rPr/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Paragraph" w:customStyle="1">
    <w:name w:val="Table Paragraph"/>
    <w:basedOn w:val="Normal"/>
    <w:qFormat/>
    <w:pPr/>
    <w:rPr>
      <w:rFonts w:ascii="Arial" w:hAnsi="Arial" w:eastAsia="Arial" w:cs="Arial"/>
      <w:lang w:eastAsia="en-US"/>
    </w:rPr>
  </w:style>
  <w:style w:type="paragraph" w:styleId="Title">
    <w:name w:val="Title"/>
    <w:basedOn w:val="Heading"/>
    <w:next w:val="BodyText"/>
    <w:qFormat/>
    <w:pPr>
      <w:jc w:val="center"/>
    </w:pPr>
    <w:rPr>
      <w:b/>
      <w:bCs/>
      <w:sz w:val="56"/>
      <w:szCs w:val="5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natabel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ordinatnamreatabele">
    <w:name w:val="Table Grid"/>
    <w:basedOn w:val="Normalnatabela"/>
    <w:uiPriority w:val="59"/>
    <w:rsid w:val="008a1b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2">
    <w:name w:val="Table Grid2"/>
    <w:basedOn w:val="Normalnatabela"/>
    <w:uiPriority w:val="39"/>
    <w:rsid w:val="00f95b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s://www.zakon.hr/z/689/Zakon-o-prostornom-ure&#273;enju" TargetMode="External"/><Relationship Id="rId10" Type="http://schemas.openxmlformats.org/officeDocument/2006/relationships/hyperlink" Target="https://www.zakon.hr/z/244/Zakon-o-cestama" TargetMode="Externa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footer" Target="footer7.xml"/><Relationship Id="rId21" Type="http://schemas.openxmlformats.org/officeDocument/2006/relationships/footer" Target="footer8.xml"/><Relationship Id="rId22" Type="http://schemas.openxmlformats.org/officeDocument/2006/relationships/footer" Target="footer9.xml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<Relationship Id="rId26" Type="http://schemas.openxmlformats.org/officeDocument/2006/relationships/theme" Target="theme/theme1.xml"/><Relationship Id="rId27" Type="http://schemas.openxmlformats.org/officeDocument/2006/relationships/customXml" Target="../customXml/item1.xml"/><Relationship Id="rId28" Type="http://schemas.openxmlformats.org/officeDocument/2006/relationships/customXml" Target="../customXml/item2.xml"/><Relationship Id="rId29" Type="http://schemas.openxmlformats.org/officeDocument/2006/relationships/customXml" Target="../customXml/item3.xml"/><Relationship Id="rId3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2021/Session-637481087687048401/SessionItem-637483903253648989/43gv-KON prijedlog Strategija upravljanja imovinom Grada Karlovca_4.docx|1050;#Ø;#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66D3ED-3303-43C4-B154-3DE4C8D98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FBDE85-6404-438C-84B5-D24262D98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2D8A8F-83A8-47F2-8B16-8A5BD353B1D2}">
  <ds:schemaRefs>
    <ds:schemaRef ds:uri="http://schemas.microsoft.com/office/2006/metadata/properties"/>
    <ds:schemaRef ds:uri="http://schemas.microsoft.com/office/infopath/2007/PartnerControls"/>
    <ds:schemaRef ds:uri="67DD2152-21C4-4985-B70C-518AC9CC8049"/>
  </ds:schemaRefs>
</ds:datastoreItem>
</file>

<file path=customXml/itemProps4.xml><?xml version="1.0" encoding="utf-8"?>
<ds:datastoreItem xmlns:ds="http://schemas.openxmlformats.org/officeDocument/2006/customXml" ds:itemID="{33063BE9-5533-4BEC-98AE-094C4D29B5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Application>LibreOffice/24.2.3.2$Windows_X86_64 LibreOffice_project/433d9c2ded56988e8a90e6b2e771ee4e6a5ab2ba</Application>
  <AppVersion>15.0000</AppVersion>
  <Pages>12</Pages>
  <Words>1986</Words>
  <Characters>12332</Characters>
  <CharactersWithSpaces>14575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2025-02-12T09:50:00Z</dcterms:created>
  <dc:creator>Vedran Vukobrat</dc:creator>
  <dc:description/>
  <dc:language>bs-BA</dc:language>
  <cp:lastModifiedBy/>
  <cp:lastPrinted>2026-02-17T10:16:35Z</cp:lastPrinted>
  <dcterms:modified xsi:type="dcterms:W3CDTF">2026-02-19T11:12:41Z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